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Pr="00315425" w:rsidRDefault="002371C4" w:rsidP="002371C4">
      <w:pPr>
        <w:rPr>
          <w:rFonts w:cs="Arial"/>
          <w:sz w:val="4"/>
          <w:szCs w:val="20"/>
        </w:rPr>
      </w:pPr>
      <w:r>
        <w:rPr>
          <w:noProof/>
          <w:lang w:eastAsia="en-GB"/>
        </w:rPr>
        <mc:AlternateContent>
          <mc:Choice Requires="wps">
            <w:drawing>
              <wp:anchor distT="0" distB="0" distL="114300" distR="114300" simplePos="0" relativeHeight="251666432" behindDoc="0" locked="0" layoutInCell="1" allowOverlap="1" wp14:anchorId="5C448C73" wp14:editId="4CCD0399">
                <wp:simplePos x="0" y="0"/>
                <wp:positionH relativeFrom="column">
                  <wp:posOffset>-513715</wp:posOffset>
                </wp:positionH>
                <wp:positionV relativeFrom="paragraph">
                  <wp:posOffset>-981329</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371C4" w:rsidRPr="005621B3">
                              <w:rPr>
                                <w:color w:val="FFFFFF"/>
                                <w:sz w:val="44"/>
                                <w:szCs w:val="44"/>
                                <w:lang w:val="en-AU"/>
                              </w:rPr>
                              <w:t xml:space="preserve">Energy </w:t>
                            </w:r>
                            <w:r w:rsidR="003E23B4" w:rsidRPr="005621B3">
                              <w:rPr>
                                <w:color w:val="FFFFFF"/>
                                <w:sz w:val="44"/>
                                <w:szCs w:val="44"/>
                                <w:lang w:val="en-AU"/>
                              </w:rPr>
                              <w:t>Man</w:t>
                            </w:r>
                            <w:r w:rsidR="00E94BE6" w:rsidRPr="005621B3">
                              <w:rPr>
                                <w:color w:val="FFFFFF"/>
                                <w:sz w:val="44"/>
                                <w:szCs w:val="44"/>
                                <w:lang w:val="en-AU"/>
                              </w:rPr>
                              <w:t>a</w:t>
                            </w:r>
                            <w:r w:rsidR="003E23B4" w:rsidRPr="005621B3">
                              <w:rPr>
                                <w:color w:val="FFFFFF"/>
                                <w:sz w:val="44"/>
                                <w:szCs w:val="44"/>
                                <w:lang w:val="en-AU"/>
                              </w:rPr>
                              <w:t>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48C73" id="_x0000_t202" coordsize="21600,21600" o:spt="202" path="m,l,21600r21600,l21600,xe">
                <v:stroke joinstyle="miter"/>
                <v:path gradientshapeok="t" o:connecttype="rect"/>
              </v:shapetype>
              <v:shape id="Text Box 18" o:spid="_x0000_s1026" type="#_x0000_t202" style="position:absolute;left:0;text-align:left;margin-left:-40.45pt;margin-top:-77.25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371C4" w:rsidRPr="005621B3">
                        <w:rPr>
                          <w:color w:val="FFFFFF"/>
                          <w:sz w:val="44"/>
                          <w:szCs w:val="44"/>
                          <w:lang w:val="en-AU"/>
                        </w:rPr>
                        <w:t xml:space="preserve">Energy </w:t>
                      </w:r>
                      <w:r w:rsidR="003E23B4" w:rsidRPr="005621B3">
                        <w:rPr>
                          <w:color w:val="FFFFFF"/>
                          <w:sz w:val="44"/>
                          <w:szCs w:val="44"/>
                          <w:lang w:val="en-AU"/>
                        </w:rPr>
                        <w:t>Man</w:t>
                      </w:r>
                      <w:r w:rsidR="00E94BE6" w:rsidRPr="005621B3">
                        <w:rPr>
                          <w:color w:val="FFFFFF"/>
                          <w:sz w:val="44"/>
                          <w:szCs w:val="44"/>
                          <w:lang w:val="en-AU"/>
                        </w:rPr>
                        <w:t>a</w:t>
                      </w:r>
                      <w:r w:rsidR="003E23B4" w:rsidRPr="005621B3">
                        <w:rPr>
                          <w:color w:val="FFFFFF"/>
                          <w:sz w:val="44"/>
                          <w:szCs w:val="44"/>
                          <w:lang w:val="en-AU"/>
                        </w:rPr>
                        <w:t>ger</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6936D0" w:rsidP="00161F93">
            <w:pPr>
              <w:spacing w:before="20" w:after="20"/>
              <w:jc w:val="left"/>
              <w:rPr>
                <w:rFonts w:cs="Arial"/>
                <w:color w:val="000000"/>
                <w:szCs w:val="20"/>
              </w:rPr>
            </w:pPr>
            <w:r>
              <w:rPr>
                <w:rFonts w:cs="Arial"/>
                <w:color w:val="000000"/>
                <w:szCs w:val="20"/>
              </w:rPr>
              <w:t>Government and Agencies</w:t>
            </w:r>
            <w:r w:rsidR="00C74981">
              <w:rPr>
                <w:rFonts w:cs="Arial"/>
                <w:color w:val="000000"/>
                <w:szCs w:val="20"/>
              </w:rPr>
              <w:t xml:space="preserve"> Segment</w:t>
            </w:r>
            <w:r w:rsidR="00FD4664">
              <w:rPr>
                <w:rFonts w:cs="Arial"/>
                <w:color w:val="000000"/>
                <w:szCs w:val="20"/>
              </w:rPr>
              <w:t>, Managing Agent business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6936D0" w:rsidP="003E23B4">
            <w:pPr>
              <w:pStyle w:val="Heading2"/>
              <w:rPr>
                <w:lang w:val="en-CA"/>
              </w:rPr>
            </w:pPr>
            <w:r>
              <w:rPr>
                <w:lang w:val="en-CA"/>
              </w:rPr>
              <w:t>Energy</w:t>
            </w:r>
            <w:r w:rsidR="008E75D6">
              <w:rPr>
                <w:lang w:val="en-CA"/>
              </w:rPr>
              <w:t xml:space="preserve"> </w:t>
            </w:r>
            <w:r w:rsidR="003E23B4">
              <w:rPr>
                <w:lang w:val="en-CA"/>
              </w:rPr>
              <w:t>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09148A" w:rsidRDefault="0009148A" w:rsidP="00910D5E">
            <w:pPr>
              <w:spacing w:before="20" w:after="20"/>
              <w:jc w:val="left"/>
              <w:rPr>
                <w:rFonts w:cs="Arial"/>
                <w:color w:val="000000"/>
                <w:szCs w:val="20"/>
              </w:rPr>
            </w:pPr>
            <w:r>
              <w:rPr>
                <w:rFonts w:cs="Arial"/>
                <w:color w:val="000000"/>
                <w:szCs w:val="20"/>
              </w:rPr>
              <w:t>Energy and Sustainability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Pr="0009148A" w:rsidRDefault="006936D0" w:rsidP="00366A73">
            <w:pPr>
              <w:spacing w:before="20" w:after="20"/>
              <w:jc w:val="left"/>
              <w:rPr>
                <w:rFonts w:cs="Arial"/>
                <w:color w:val="000000"/>
                <w:szCs w:val="20"/>
              </w:rPr>
            </w:pPr>
            <w:r w:rsidRPr="0009148A">
              <w:rPr>
                <w:rFonts w:cs="Arial"/>
                <w:color w:val="000000"/>
                <w:szCs w:val="20"/>
              </w:rPr>
              <w:t>Head of Energy and Sustainability</w:t>
            </w:r>
            <w:r w:rsidR="003E23B4" w:rsidRPr="0009148A">
              <w:rPr>
                <w:rFonts w:cs="Arial"/>
                <w:color w:val="000000"/>
                <w:szCs w:val="20"/>
              </w:rPr>
              <w:t xml:space="preserve"> Services</w:t>
            </w:r>
            <w:r w:rsidRPr="0009148A">
              <w:rPr>
                <w:rFonts w:cs="Arial"/>
                <w:color w:val="000000"/>
                <w:szCs w:val="20"/>
              </w:rPr>
              <w:t>, Service Operations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Pr="0009148A" w:rsidRDefault="003E23B4" w:rsidP="003E23B4">
            <w:pPr>
              <w:spacing w:before="20" w:after="20"/>
              <w:jc w:val="left"/>
              <w:rPr>
                <w:rFonts w:cs="Arial"/>
                <w:color w:val="000000"/>
                <w:szCs w:val="20"/>
              </w:rPr>
            </w:pPr>
            <w:r w:rsidRPr="0009148A">
              <w:rPr>
                <w:rFonts w:cs="Arial"/>
                <w:color w:val="000000"/>
                <w:szCs w:val="20"/>
              </w:rPr>
              <w:t xml:space="preserve">Flexible / </w:t>
            </w:r>
            <w:r w:rsidR="00951C6C" w:rsidRPr="0009148A">
              <w:rPr>
                <w:rFonts w:cs="Arial"/>
                <w:color w:val="000000"/>
                <w:szCs w:val="20"/>
              </w:rPr>
              <w:t>Leeds</w:t>
            </w:r>
            <w:r w:rsidRPr="0009148A">
              <w:rPr>
                <w:rFonts w:cs="Arial"/>
                <w:color w:val="000000"/>
                <w:szCs w:val="20"/>
              </w:rPr>
              <w:t xml:space="preserve"> office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2371C4" w:rsidP="002371C4">
            <w:pPr>
              <w:pStyle w:val="titregris"/>
              <w:framePr w:hSpace="0" w:wrap="auto" w:vAnchor="margin" w:hAnchor="text" w:xAlign="left" w:yAlign="inline"/>
              <w:tabs>
                <w:tab w:val="left" w:pos="284"/>
              </w:tabs>
              <w:ind w:left="0" w:firstLine="0"/>
              <w:rPr>
                <w:b w:val="0"/>
              </w:rPr>
            </w:pPr>
            <w:r w:rsidRPr="00315425">
              <w:rPr>
                <w:color w:val="FF0000"/>
              </w:rPr>
              <w:t>2.</w:t>
            </w:r>
            <w:r>
              <w:t xml:space="preserve"> </w:t>
            </w:r>
            <w:r>
              <w:tab/>
              <w:t xml:space="preserve">Purpose of the job </w:t>
            </w:r>
            <w:r w:rsidR="00366A73" w:rsidRPr="000943F3">
              <w:rPr>
                <w:b w:val="0"/>
                <w:sz w:val="16"/>
              </w:rPr>
              <w:t>–</w:t>
            </w:r>
            <w:r w:rsidR="00366A73">
              <w:rPr>
                <w:b w:val="0"/>
                <w:sz w:val="16"/>
              </w:rPr>
              <w:t xml:space="preserve"> </w:t>
            </w:r>
            <w:r w:rsidR="00366A73" w:rsidRPr="000943F3">
              <w:rPr>
                <w:b w:val="0"/>
                <w:sz w:val="16"/>
              </w:rPr>
              <w:t>State concisely the aim of the job</w:t>
            </w:r>
            <w:r w:rsidR="00366A73"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C4B" w:rsidRDefault="00040C4B" w:rsidP="00040C4B">
            <w:pPr>
              <w:pStyle w:val="Puces4"/>
              <w:numPr>
                <w:ilvl w:val="0"/>
                <w:numId w:val="0"/>
              </w:numPr>
              <w:ind w:left="162" w:firstLine="8"/>
              <w:rPr>
                <w:szCs w:val="20"/>
              </w:rPr>
            </w:pPr>
          </w:p>
          <w:p w:rsidR="00C315E2" w:rsidRPr="005621B3" w:rsidRDefault="002371C4" w:rsidP="00FA77F5">
            <w:pPr>
              <w:pStyle w:val="Puces4"/>
              <w:numPr>
                <w:ilvl w:val="0"/>
                <w:numId w:val="0"/>
              </w:numPr>
              <w:ind w:left="162"/>
              <w:rPr>
                <w:szCs w:val="20"/>
              </w:rPr>
            </w:pPr>
            <w:r w:rsidRPr="005621B3">
              <w:rPr>
                <w:szCs w:val="20"/>
              </w:rPr>
              <w:t>This exciting role</w:t>
            </w:r>
            <w:r w:rsidR="00F77FE0" w:rsidRPr="005621B3">
              <w:rPr>
                <w:szCs w:val="20"/>
              </w:rPr>
              <w:t xml:space="preserve"> involves working</w:t>
            </w:r>
            <w:r w:rsidRPr="005621B3">
              <w:rPr>
                <w:szCs w:val="20"/>
              </w:rPr>
              <w:t xml:space="preserve"> on a new Gov</w:t>
            </w:r>
            <w:r w:rsidR="00081E94" w:rsidRPr="005621B3">
              <w:rPr>
                <w:szCs w:val="20"/>
              </w:rPr>
              <w:t xml:space="preserve">ernment Services contract </w:t>
            </w:r>
            <w:r w:rsidR="00C93902" w:rsidRPr="005621B3">
              <w:rPr>
                <w:szCs w:val="20"/>
              </w:rPr>
              <w:t>providing the t</w:t>
            </w:r>
            <w:r w:rsidR="0027206B" w:rsidRPr="005621B3">
              <w:rPr>
                <w:szCs w:val="20"/>
              </w:rPr>
              <w:t xml:space="preserve">echnical strategy </w:t>
            </w:r>
            <w:r w:rsidR="00C93902" w:rsidRPr="005621B3">
              <w:rPr>
                <w:szCs w:val="20"/>
              </w:rPr>
              <w:t>to reduce the</w:t>
            </w:r>
            <w:r w:rsidR="0027206B" w:rsidRPr="005621B3">
              <w:rPr>
                <w:szCs w:val="20"/>
              </w:rPr>
              <w:t xml:space="preserve"> utilities </w:t>
            </w:r>
            <w:r w:rsidR="00C93902" w:rsidRPr="005621B3">
              <w:rPr>
                <w:szCs w:val="20"/>
              </w:rPr>
              <w:t>spend (~£28 million per annum) on a large</w:t>
            </w:r>
            <w:r w:rsidR="00C315E2" w:rsidRPr="005621B3">
              <w:rPr>
                <w:szCs w:val="20"/>
              </w:rPr>
              <w:t>,</w:t>
            </w:r>
            <w:r w:rsidR="00C93902" w:rsidRPr="005621B3">
              <w:rPr>
                <w:szCs w:val="20"/>
              </w:rPr>
              <w:t xml:space="preserve"> varied office estate comprising of over </w:t>
            </w:r>
            <w:r w:rsidR="0096106C" w:rsidRPr="005621B3">
              <w:rPr>
                <w:szCs w:val="20"/>
              </w:rPr>
              <w:t>750</w:t>
            </w:r>
            <w:r w:rsidR="00C93902" w:rsidRPr="005621B3">
              <w:rPr>
                <w:szCs w:val="20"/>
              </w:rPr>
              <w:t xml:space="preserve"> properties. </w:t>
            </w:r>
          </w:p>
          <w:p w:rsidR="00B52A3E" w:rsidRPr="005621B3" w:rsidRDefault="007461B1" w:rsidP="00FA77F5">
            <w:pPr>
              <w:pStyle w:val="Puces4"/>
              <w:numPr>
                <w:ilvl w:val="0"/>
                <w:numId w:val="0"/>
              </w:numPr>
              <w:ind w:left="162"/>
              <w:rPr>
                <w:szCs w:val="20"/>
              </w:rPr>
            </w:pPr>
            <w:r w:rsidRPr="005621B3">
              <w:rPr>
                <w:szCs w:val="20"/>
              </w:rPr>
              <w:t xml:space="preserve">The </w:t>
            </w:r>
            <w:r w:rsidR="004E515D" w:rsidRPr="005621B3">
              <w:rPr>
                <w:szCs w:val="20"/>
              </w:rPr>
              <w:t xml:space="preserve">role </w:t>
            </w:r>
            <w:r w:rsidR="00C315E2" w:rsidRPr="005621B3">
              <w:rPr>
                <w:szCs w:val="20"/>
              </w:rPr>
              <w:t>will involve</w:t>
            </w:r>
            <w:r w:rsidR="004E515D" w:rsidRPr="005621B3">
              <w:rPr>
                <w:szCs w:val="20"/>
              </w:rPr>
              <w:t xml:space="preserve"> providing </w:t>
            </w:r>
            <w:r w:rsidR="00414251" w:rsidRPr="005621B3">
              <w:rPr>
                <w:szCs w:val="20"/>
              </w:rPr>
              <w:t xml:space="preserve">technical </w:t>
            </w:r>
            <w:r w:rsidR="002371C4" w:rsidRPr="005621B3">
              <w:rPr>
                <w:szCs w:val="20"/>
              </w:rPr>
              <w:t>analysis</w:t>
            </w:r>
            <w:r w:rsidR="00C315E2" w:rsidRPr="005621B3">
              <w:rPr>
                <w:szCs w:val="20"/>
              </w:rPr>
              <w:t>, interpreting data, identifying projects and providing robust business cases to</w:t>
            </w:r>
            <w:r w:rsidR="00B52A3E" w:rsidRPr="005621B3">
              <w:rPr>
                <w:szCs w:val="20"/>
              </w:rPr>
              <w:t xml:space="preserve"> lower </w:t>
            </w:r>
            <w:r w:rsidRPr="005621B3">
              <w:rPr>
                <w:szCs w:val="20"/>
              </w:rPr>
              <w:t xml:space="preserve">the </w:t>
            </w:r>
            <w:r w:rsidR="00B52A3E" w:rsidRPr="005621B3">
              <w:rPr>
                <w:szCs w:val="20"/>
              </w:rPr>
              <w:t xml:space="preserve">cost </w:t>
            </w:r>
            <w:r w:rsidR="00237AC4" w:rsidRPr="005621B3">
              <w:rPr>
                <w:szCs w:val="20"/>
              </w:rPr>
              <w:t xml:space="preserve">and environmental impact </w:t>
            </w:r>
            <w:r w:rsidR="00B52A3E" w:rsidRPr="005621B3">
              <w:rPr>
                <w:szCs w:val="20"/>
              </w:rPr>
              <w:t>of operating the</w:t>
            </w:r>
            <w:r w:rsidR="00081E94" w:rsidRPr="005621B3">
              <w:rPr>
                <w:szCs w:val="20"/>
              </w:rPr>
              <w:t xml:space="preserve"> client’s extensive property</w:t>
            </w:r>
            <w:r w:rsidR="00B52A3E" w:rsidRPr="005621B3">
              <w:rPr>
                <w:szCs w:val="20"/>
              </w:rPr>
              <w:t xml:space="preserve"> portfolio</w:t>
            </w:r>
            <w:r w:rsidR="00C315E2" w:rsidRPr="005621B3">
              <w:rPr>
                <w:szCs w:val="20"/>
              </w:rPr>
              <w:t>. The aim of the role is to</w:t>
            </w:r>
            <w:r w:rsidR="00AC4677" w:rsidRPr="005621B3">
              <w:rPr>
                <w:szCs w:val="20"/>
              </w:rPr>
              <w:t xml:space="preserve"> </w:t>
            </w:r>
            <w:r w:rsidR="00C315E2" w:rsidRPr="005621B3">
              <w:rPr>
                <w:szCs w:val="20"/>
              </w:rPr>
              <w:t>improve</w:t>
            </w:r>
            <w:r w:rsidR="00AC4677" w:rsidRPr="005621B3">
              <w:rPr>
                <w:szCs w:val="20"/>
              </w:rPr>
              <w:t xml:space="preserve"> </w:t>
            </w:r>
            <w:r w:rsidRPr="005621B3">
              <w:rPr>
                <w:szCs w:val="20"/>
              </w:rPr>
              <w:t>performance</w:t>
            </w:r>
            <w:r w:rsidR="00B52A3E" w:rsidRPr="005621B3">
              <w:rPr>
                <w:szCs w:val="20"/>
              </w:rPr>
              <w:t xml:space="preserve"> and </w:t>
            </w:r>
            <w:r w:rsidR="00C315E2" w:rsidRPr="005621B3">
              <w:rPr>
                <w:szCs w:val="20"/>
              </w:rPr>
              <w:t>support</w:t>
            </w:r>
            <w:r w:rsidR="00AE11D6" w:rsidRPr="005621B3">
              <w:rPr>
                <w:szCs w:val="20"/>
              </w:rPr>
              <w:t xml:space="preserve"> the c</w:t>
            </w:r>
            <w:r w:rsidRPr="005621B3">
              <w:rPr>
                <w:szCs w:val="20"/>
              </w:rPr>
              <w:t xml:space="preserve">lient to </w:t>
            </w:r>
            <w:r w:rsidR="00B52A3E" w:rsidRPr="005621B3">
              <w:rPr>
                <w:szCs w:val="20"/>
              </w:rPr>
              <w:t xml:space="preserve">meet their strategic </w:t>
            </w:r>
            <w:r w:rsidR="002371C4" w:rsidRPr="005621B3">
              <w:rPr>
                <w:szCs w:val="20"/>
              </w:rPr>
              <w:t>estate</w:t>
            </w:r>
            <w:r w:rsidR="00B52A3E" w:rsidRPr="005621B3">
              <w:rPr>
                <w:szCs w:val="20"/>
              </w:rPr>
              <w:t xml:space="preserve"> </w:t>
            </w:r>
            <w:r w:rsidR="00237AC4" w:rsidRPr="005621B3">
              <w:rPr>
                <w:szCs w:val="20"/>
              </w:rPr>
              <w:t>objectives</w:t>
            </w:r>
            <w:r w:rsidR="002371C4" w:rsidRPr="005621B3">
              <w:rPr>
                <w:szCs w:val="20"/>
              </w:rPr>
              <w:t xml:space="preserve"> including </w:t>
            </w:r>
            <w:r w:rsidR="00081E94" w:rsidRPr="005621B3">
              <w:rPr>
                <w:szCs w:val="20"/>
              </w:rPr>
              <w:t xml:space="preserve">Greening </w:t>
            </w:r>
            <w:r w:rsidR="002371C4" w:rsidRPr="005621B3">
              <w:rPr>
                <w:szCs w:val="20"/>
              </w:rPr>
              <w:t xml:space="preserve">Government </w:t>
            </w:r>
            <w:r w:rsidR="00C93902" w:rsidRPr="005621B3">
              <w:rPr>
                <w:szCs w:val="20"/>
              </w:rPr>
              <w:t>C</w:t>
            </w:r>
            <w:r w:rsidR="00081E94" w:rsidRPr="005621B3">
              <w:rPr>
                <w:szCs w:val="20"/>
              </w:rPr>
              <w:t xml:space="preserve">ommitments and </w:t>
            </w:r>
            <w:r w:rsidR="00C93902" w:rsidRPr="005621B3">
              <w:rPr>
                <w:szCs w:val="20"/>
              </w:rPr>
              <w:t xml:space="preserve">internal </w:t>
            </w:r>
            <w:r w:rsidR="002371C4" w:rsidRPr="005621B3">
              <w:rPr>
                <w:szCs w:val="20"/>
              </w:rPr>
              <w:t>targets</w:t>
            </w:r>
            <w:r w:rsidR="00237AC4" w:rsidRPr="005621B3">
              <w:rPr>
                <w:szCs w:val="20"/>
              </w:rPr>
              <w:t>.</w:t>
            </w:r>
          </w:p>
          <w:p w:rsidR="00B52A3E" w:rsidRDefault="00B52A3E" w:rsidP="00B52A3E">
            <w:pPr>
              <w:pStyle w:val="Puces4"/>
              <w:numPr>
                <w:ilvl w:val="0"/>
                <w:numId w:val="0"/>
              </w:numPr>
              <w:ind w:left="162" w:firstLine="8"/>
              <w:rPr>
                <w:szCs w:val="20"/>
              </w:rPr>
            </w:pPr>
            <w:r w:rsidRPr="005621B3">
              <w:rPr>
                <w:szCs w:val="20"/>
              </w:rPr>
              <w:t xml:space="preserve">This is an exciting opportunity to </w:t>
            </w:r>
            <w:r w:rsidR="00AE11D6" w:rsidRPr="005621B3">
              <w:rPr>
                <w:szCs w:val="20"/>
              </w:rPr>
              <w:t xml:space="preserve">work </w:t>
            </w:r>
            <w:r w:rsidR="006926A6" w:rsidRPr="005621B3">
              <w:rPr>
                <w:szCs w:val="20"/>
              </w:rPr>
              <w:t>with</w:t>
            </w:r>
            <w:r w:rsidR="00AE11D6" w:rsidRPr="005621B3">
              <w:rPr>
                <w:szCs w:val="20"/>
              </w:rPr>
              <w:t xml:space="preserve">in </w:t>
            </w:r>
            <w:r w:rsidR="006926A6" w:rsidRPr="005621B3">
              <w:rPr>
                <w:szCs w:val="20"/>
              </w:rPr>
              <w:t xml:space="preserve">a dynamic </w:t>
            </w:r>
            <w:r w:rsidR="00AE11D6" w:rsidRPr="005621B3">
              <w:rPr>
                <w:szCs w:val="20"/>
              </w:rPr>
              <w:t xml:space="preserve">account team alongside Energy and Sustainability </w:t>
            </w:r>
            <w:r w:rsidR="006926A6" w:rsidRPr="005621B3">
              <w:rPr>
                <w:szCs w:val="20"/>
              </w:rPr>
              <w:t>professionals</w:t>
            </w:r>
            <w:r w:rsidR="00AE11D6" w:rsidRPr="005621B3">
              <w:rPr>
                <w:szCs w:val="20"/>
              </w:rPr>
              <w:t xml:space="preserve"> to </w:t>
            </w:r>
            <w:r w:rsidR="00237AC4" w:rsidRPr="005621B3">
              <w:rPr>
                <w:szCs w:val="20"/>
              </w:rPr>
              <w:t>d</w:t>
            </w:r>
            <w:r w:rsidR="007461B1" w:rsidRPr="005621B3">
              <w:rPr>
                <w:szCs w:val="20"/>
              </w:rPr>
              <w:t xml:space="preserve">rive </w:t>
            </w:r>
            <w:r w:rsidR="00237AC4" w:rsidRPr="005621B3">
              <w:rPr>
                <w:szCs w:val="20"/>
              </w:rPr>
              <w:t>Energy and Sustainability</w:t>
            </w:r>
            <w:r w:rsidRPr="005621B3">
              <w:rPr>
                <w:szCs w:val="20"/>
              </w:rPr>
              <w:t xml:space="preserve"> </w:t>
            </w:r>
            <w:r w:rsidR="00237AC4" w:rsidRPr="005621B3">
              <w:rPr>
                <w:szCs w:val="20"/>
              </w:rPr>
              <w:t>improvements</w:t>
            </w:r>
            <w:r w:rsidR="007461B1" w:rsidRPr="005621B3">
              <w:rPr>
                <w:szCs w:val="20"/>
              </w:rPr>
              <w:t xml:space="preserve"> </w:t>
            </w:r>
            <w:r w:rsidRPr="005621B3">
              <w:rPr>
                <w:szCs w:val="20"/>
              </w:rPr>
              <w:t>on a large and publicly visible portfolio.</w:t>
            </w:r>
            <w:r w:rsidR="0027206B" w:rsidRPr="005621B3">
              <w:rPr>
                <w:szCs w:val="20"/>
              </w:rPr>
              <w:t xml:space="preserve"> </w:t>
            </w:r>
            <w:r w:rsidR="00C93902" w:rsidRPr="005621B3">
              <w:rPr>
                <w:szCs w:val="20"/>
              </w:rPr>
              <w:t>In this role you will be the Subject Matter Expert, focused on</w:t>
            </w:r>
            <w:r w:rsidR="0027206B" w:rsidRPr="005621B3">
              <w:rPr>
                <w:szCs w:val="20"/>
              </w:rPr>
              <w:t xml:space="preserve"> reducing </w:t>
            </w:r>
            <w:r w:rsidR="00C93902" w:rsidRPr="005621B3">
              <w:rPr>
                <w:szCs w:val="20"/>
              </w:rPr>
              <w:t xml:space="preserve">the </w:t>
            </w:r>
            <w:r w:rsidR="0027206B" w:rsidRPr="005621B3">
              <w:rPr>
                <w:szCs w:val="20"/>
              </w:rPr>
              <w:t>cost to operate the estate</w:t>
            </w:r>
            <w:r w:rsidR="00C315E2" w:rsidRPr="005621B3">
              <w:rPr>
                <w:szCs w:val="20"/>
              </w:rPr>
              <w:t>, bring</w:t>
            </w:r>
            <w:r w:rsidR="00D80F4E" w:rsidRPr="005621B3">
              <w:rPr>
                <w:szCs w:val="20"/>
              </w:rPr>
              <w:t>ing innovation and providing</w:t>
            </w:r>
            <w:r w:rsidR="0027206B" w:rsidRPr="005621B3">
              <w:rPr>
                <w:szCs w:val="20"/>
              </w:rPr>
              <w:t xml:space="preserve"> technical leadership.</w:t>
            </w:r>
          </w:p>
          <w:p w:rsidR="00040C4B" w:rsidRPr="005D08C7" w:rsidRDefault="00040C4B" w:rsidP="007461B1">
            <w:pPr>
              <w:pStyle w:val="Puces4"/>
              <w:numPr>
                <w:ilvl w:val="0"/>
                <w:numId w:val="0"/>
              </w:numPr>
              <w:ind w:left="162" w:firstLine="8"/>
              <w:rPr>
                <w:color w:val="80808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F77FE0" w:rsidRDefault="00D05F40" w:rsidP="00161F93">
            <w:pPr>
              <w:rPr>
                <w:sz w:val="18"/>
                <w:szCs w:val="18"/>
              </w:rPr>
            </w:pPr>
            <w:r w:rsidRPr="00F77FE0">
              <w:rPr>
                <w:sz w:val="18"/>
                <w:szCs w:val="18"/>
              </w:rPr>
              <w:t>Revenue FY16</w:t>
            </w:r>
            <w:r w:rsidR="00366A73" w:rsidRPr="00F77FE0">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F77FE0" w:rsidRDefault="00366A73" w:rsidP="001723BE">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F77FE0" w:rsidRDefault="00366A73" w:rsidP="00161F93">
            <w:pPr>
              <w:rPr>
                <w:sz w:val="18"/>
                <w:szCs w:val="18"/>
              </w:rPr>
            </w:pPr>
            <w:r w:rsidRPr="00F77FE0">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62DD0" w:rsidRDefault="00366A73" w:rsidP="00161F93">
            <w:pPr>
              <w:rPr>
                <w:sz w:val="18"/>
                <w:szCs w:val="18"/>
                <w:highlight w:val="red"/>
              </w:rPr>
            </w:pPr>
          </w:p>
        </w:tc>
        <w:tc>
          <w:tcPr>
            <w:tcW w:w="810" w:type="dxa"/>
            <w:vMerge w:val="restart"/>
            <w:tcBorders>
              <w:top w:val="dotted" w:sz="2" w:space="0" w:color="auto"/>
              <w:left w:val="dotted" w:sz="4" w:space="0" w:color="auto"/>
              <w:right w:val="nil"/>
            </w:tcBorders>
            <w:vAlign w:val="center"/>
          </w:tcPr>
          <w:p w:rsidR="00366A73" w:rsidRPr="00A23C3F" w:rsidRDefault="00366A73" w:rsidP="00161F93">
            <w:pPr>
              <w:rPr>
                <w:sz w:val="18"/>
                <w:szCs w:val="18"/>
              </w:rPr>
            </w:pPr>
            <w:r w:rsidRPr="00A23C3F">
              <w:rPr>
                <w:sz w:val="18"/>
                <w:szCs w:val="18"/>
              </w:rPr>
              <w:t>Growth type:</w:t>
            </w:r>
          </w:p>
        </w:tc>
        <w:tc>
          <w:tcPr>
            <w:tcW w:w="900" w:type="dxa"/>
            <w:vMerge w:val="restart"/>
            <w:tcBorders>
              <w:top w:val="dotted" w:sz="2" w:space="0" w:color="auto"/>
              <w:left w:val="nil"/>
              <w:right w:val="nil"/>
            </w:tcBorders>
            <w:vAlign w:val="center"/>
          </w:tcPr>
          <w:p w:rsidR="00366A73" w:rsidRPr="00A23C3F" w:rsidRDefault="00366A73" w:rsidP="00161F93">
            <w:pPr>
              <w:rPr>
                <w:sz w:val="18"/>
                <w:szCs w:val="18"/>
              </w:rPr>
            </w:pPr>
            <w:r w:rsidRPr="00A23C3F">
              <w:rPr>
                <w:sz w:val="18"/>
                <w:szCs w:val="18"/>
              </w:rPr>
              <w:t>n/a</w:t>
            </w:r>
          </w:p>
        </w:tc>
        <w:tc>
          <w:tcPr>
            <w:tcW w:w="1260" w:type="dxa"/>
            <w:vMerge w:val="restart"/>
            <w:tcBorders>
              <w:top w:val="dotted" w:sz="2" w:space="0" w:color="auto"/>
              <w:left w:val="dotted" w:sz="4" w:space="0" w:color="auto"/>
              <w:right w:val="nil"/>
            </w:tcBorders>
            <w:vAlign w:val="center"/>
          </w:tcPr>
          <w:p w:rsidR="00366A73" w:rsidRPr="00A23C3F" w:rsidRDefault="00366A73" w:rsidP="00161F93">
            <w:pPr>
              <w:rPr>
                <w:sz w:val="18"/>
                <w:szCs w:val="18"/>
              </w:rPr>
            </w:pPr>
            <w:r w:rsidRPr="00A23C3F">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A23C3F" w:rsidRDefault="00366A73" w:rsidP="00161F93">
            <w:pPr>
              <w:rPr>
                <w:sz w:val="18"/>
                <w:szCs w:val="18"/>
              </w:rPr>
            </w:pPr>
            <w:r w:rsidRPr="00A23C3F">
              <w:rPr>
                <w:sz w:val="18"/>
                <w:szCs w:val="18"/>
              </w:rPr>
              <w:t>n/a</w:t>
            </w:r>
          </w:p>
        </w:tc>
        <w:tc>
          <w:tcPr>
            <w:tcW w:w="1800" w:type="dxa"/>
            <w:vMerge w:val="restart"/>
            <w:tcBorders>
              <w:top w:val="dotted" w:sz="2" w:space="0" w:color="auto"/>
              <w:left w:val="dotted" w:sz="4" w:space="0" w:color="auto"/>
              <w:right w:val="nil"/>
            </w:tcBorders>
            <w:vAlign w:val="center"/>
          </w:tcPr>
          <w:p w:rsidR="00366A73" w:rsidRPr="00762DD0" w:rsidRDefault="00366A73" w:rsidP="00161F93">
            <w:pPr>
              <w:rPr>
                <w:sz w:val="18"/>
                <w:szCs w:val="18"/>
                <w:highlight w:val="red"/>
              </w:rPr>
            </w:pPr>
          </w:p>
        </w:tc>
        <w:tc>
          <w:tcPr>
            <w:tcW w:w="990" w:type="dxa"/>
            <w:gridSpan w:val="2"/>
            <w:vMerge w:val="restart"/>
            <w:tcBorders>
              <w:top w:val="dotted" w:sz="2" w:space="0" w:color="auto"/>
              <w:left w:val="nil"/>
              <w:right w:val="single" w:sz="2" w:space="0" w:color="auto"/>
            </w:tcBorders>
            <w:vAlign w:val="center"/>
          </w:tcPr>
          <w:p w:rsidR="00366A73" w:rsidRPr="00762DD0" w:rsidRDefault="00366A73" w:rsidP="00161F93">
            <w:pPr>
              <w:rPr>
                <w:sz w:val="18"/>
                <w:szCs w:val="18"/>
                <w:highlight w:val="red"/>
              </w:rPr>
            </w:pPr>
          </w:p>
        </w:tc>
      </w:tr>
      <w:tr w:rsidR="00366A73" w:rsidRPr="007C0E94" w:rsidTr="00161F93">
        <w:trPr>
          <w:trHeight w:val="263"/>
        </w:trPr>
        <w:tc>
          <w:tcPr>
            <w:tcW w:w="1008" w:type="dxa"/>
            <w:vMerge/>
            <w:tcBorders>
              <w:left w:val="single" w:sz="2" w:space="0" w:color="auto"/>
              <w:right w:val="nil"/>
            </w:tcBorders>
            <w:vAlign w:val="center"/>
          </w:tcPr>
          <w:p w:rsidR="00366A73" w:rsidRPr="00F77FE0" w:rsidRDefault="00366A73" w:rsidP="00161F93">
            <w:pPr>
              <w:rPr>
                <w:sz w:val="18"/>
                <w:szCs w:val="18"/>
              </w:rPr>
            </w:pPr>
          </w:p>
        </w:tc>
        <w:tc>
          <w:tcPr>
            <w:tcW w:w="630" w:type="dxa"/>
            <w:gridSpan w:val="2"/>
            <w:vMerge/>
            <w:tcBorders>
              <w:left w:val="nil"/>
              <w:right w:val="dotted" w:sz="2" w:space="0" w:color="auto"/>
            </w:tcBorders>
            <w:vAlign w:val="center"/>
          </w:tcPr>
          <w:p w:rsidR="00366A73" w:rsidRPr="00F77FE0"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77FE0" w:rsidRDefault="00366A73" w:rsidP="00161F93">
            <w:pPr>
              <w:rPr>
                <w:sz w:val="18"/>
                <w:szCs w:val="18"/>
              </w:rPr>
            </w:pPr>
            <w:r w:rsidRPr="00F77FE0">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62DD0" w:rsidRDefault="00366A73" w:rsidP="00161F93">
            <w:pPr>
              <w:rPr>
                <w:sz w:val="18"/>
                <w:szCs w:val="18"/>
                <w:highlight w:val="red"/>
              </w:rPr>
            </w:pPr>
          </w:p>
        </w:tc>
        <w:tc>
          <w:tcPr>
            <w:tcW w:w="810" w:type="dxa"/>
            <w:vMerge/>
            <w:tcBorders>
              <w:left w:val="dotted" w:sz="4" w:space="0" w:color="auto"/>
              <w:right w:val="nil"/>
            </w:tcBorders>
            <w:vAlign w:val="center"/>
          </w:tcPr>
          <w:p w:rsidR="00366A73" w:rsidRPr="00A23C3F" w:rsidRDefault="00366A73" w:rsidP="00161F93">
            <w:pPr>
              <w:rPr>
                <w:sz w:val="18"/>
                <w:szCs w:val="18"/>
              </w:rPr>
            </w:pPr>
          </w:p>
        </w:tc>
        <w:tc>
          <w:tcPr>
            <w:tcW w:w="900" w:type="dxa"/>
            <w:vMerge/>
            <w:tcBorders>
              <w:left w:val="nil"/>
              <w:right w:val="nil"/>
            </w:tcBorders>
            <w:vAlign w:val="center"/>
          </w:tcPr>
          <w:p w:rsidR="00366A73" w:rsidRPr="00A23C3F"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A23C3F"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A23C3F"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62DD0" w:rsidRDefault="00366A73" w:rsidP="00161F93">
            <w:pPr>
              <w:rPr>
                <w:sz w:val="18"/>
                <w:szCs w:val="18"/>
                <w:highlight w:val="red"/>
              </w:rPr>
            </w:pPr>
          </w:p>
        </w:tc>
        <w:tc>
          <w:tcPr>
            <w:tcW w:w="990" w:type="dxa"/>
            <w:gridSpan w:val="2"/>
            <w:vMerge/>
            <w:tcBorders>
              <w:left w:val="nil"/>
              <w:bottom w:val="dotted" w:sz="4" w:space="0" w:color="auto"/>
              <w:right w:val="single" w:sz="2" w:space="0" w:color="auto"/>
            </w:tcBorders>
            <w:vAlign w:val="center"/>
          </w:tcPr>
          <w:p w:rsidR="00366A73" w:rsidRPr="00762DD0" w:rsidRDefault="00366A73" w:rsidP="00161F93">
            <w:pPr>
              <w:rPr>
                <w:sz w:val="18"/>
                <w:szCs w:val="18"/>
                <w:highlight w:val="red"/>
              </w:rPr>
            </w:pPr>
          </w:p>
        </w:tc>
      </w:tr>
      <w:tr w:rsidR="00366A73" w:rsidRPr="007C0E94" w:rsidTr="00161F93">
        <w:trPr>
          <w:trHeight w:val="263"/>
        </w:trPr>
        <w:tc>
          <w:tcPr>
            <w:tcW w:w="1008" w:type="dxa"/>
            <w:vMerge/>
            <w:tcBorders>
              <w:left w:val="single" w:sz="2" w:space="0" w:color="auto"/>
              <w:right w:val="nil"/>
            </w:tcBorders>
            <w:vAlign w:val="center"/>
          </w:tcPr>
          <w:p w:rsidR="00366A73" w:rsidRPr="00F77FE0" w:rsidRDefault="00366A73" w:rsidP="00161F93">
            <w:pPr>
              <w:rPr>
                <w:sz w:val="18"/>
                <w:szCs w:val="18"/>
              </w:rPr>
            </w:pPr>
          </w:p>
        </w:tc>
        <w:tc>
          <w:tcPr>
            <w:tcW w:w="630" w:type="dxa"/>
            <w:gridSpan w:val="2"/>
            <w:vMerge/>
            <w:tcBorders>
              <w:left w:val="nil"/>
              <w:right w:val="dotted" w:sz="2" w:space="0" w:color="auto"/>
            </w:tcBorders>
            <w:vAlign w:val="center"/>
          </w:tcPr>
          <w:p w:rsidR="00366A73" w:rsidRPr="00F77FE0"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77FE0" w:rsidRDefault="00366A73" w:rsidP="00161F93">
            <w:pPr>
              <w:rPr>
                <w:sz w:val="18"/>
                <w:szCs w:val="18"/>
              </w:rPr>
            </w:pPr>
            <w:r w:rsidRPr="00F77FE0">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62DD0" w:rsidRDefault="00366A73" w:rsidP="00161F93">
            <w:pPr>
              <w:rPr>
                <w:sz w:val="18"/>
                <w:szCs w:val="18"/>
                <w:highlight w:val="red"/>
              </w:rPr>
            </w:pPr>
          </w:p>
        </w:tc>
        <w:tc>
          <w:tcPr>
            <w:tcW w:w="810" w:type="dxa"/>
            <w:vMerge/>
            <w:tcBorders>
              <w:left w:val="dotted" w:sz="4" w:space="0" w:color="auto"/>
              <w:right w:val="nil"/>
            </w:tcBorders>
            <w:vAlign w:val="center"/>
          </w:tcPr>
          <w:p w:rsidR="00366A73" w:rsidRPr="00A23C3F" w:rsidRDefault="00366A73" w:rsidP="00161F93">
            <w:pPr>
              <w:rPr>
                <w:sz w:val="18"/>
                <w:szCs w:val="18"/>
              </w:rPr>
            </w:pPr>
          </w:p>
        </w:tc>
        <w:tc>
          <w:tcPr>
            <w:tcW w:w="900" w:type="dxa"/>
            <w:vMerge/>
            <w:tcBorders>
              <w:left w:val="nil"/>
              <w:right w:val="nil"/>
            </w:tcBorders>
            <w:vAlign w:val="center"/>
          </w:tcPr>
          <w:p w:rsidR="00366A73" w:rsidRPr="00A23C3F"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A23C3F" w:rsidRDefault="00366A73" w:rsidP="00161F93">
            <w:pPr>
              <w:rPr>
                <w:sz w:val="18"/>
                <w:szCs w:val="18"/>
              </w:rPr>
            </w:pPr>
            <w:r w:rsidRPr="00A23C3F">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A23C3F" w:rsidRDefault="00366A73" w:rsidP="00161F93">
            <w:pPr>
              <w:rPr>
                <w:sz w:val="18"/>
                <w:szCs w:val="18"/>
              </w:rPr>
            </w:pPr>
            <w:r w:rsidRPr="00A23C3F">
              <w:rPr>
                <w:sz w:val="18"/>
                <w:szCs w:val="18"/>
              </w:rPr>
              <w:t>n/a</w:t>
            </w:r>
          </w:p>
        </w:tc>
        <w:tc>
          <w:tcPr>
            <w:tcW w:w="1800" w:type="dxa"/>
            <w:vMerge w:val="restart"/>
            <w:tcBorders>
              <w:top w:val="dotted" w:sz="4" w:space="0" w:color="auto"/>
              <w:left w:val="dotted" w:sz="4" w:space="0" w:color="auto"/>
              <w:right w:val="nil"/>
            </w:tcBorders>
            <w:vAlign w:val="center"/>
          </w:tcPr>
          <w:p w:rsidR="00366A73" w:rsidRPr="00762DD0" w:rsidRDefault="00366A73" w:rsidP="00161F93">
            <w:pPr>
              <w:rPr>
                <w:sz w:val="18"/>
                <w:szCs w:val="18"/>
                <w:highlight w:val="red"/>
              </w:rPr>
            </w:pPr>
          </w:p>
        </w:tc>
        <w:tc>
          <w:tcPr>
            <w:tcW w:w="990" w:type="dxa"/>
            <w:gridSpan w:val="2"/>
            <w:vMerge w:val="restart"/>
            <w:tcBorders>
              <w:top w:val="dotted" w:sz="4" w:space="0" w:color="auto"/>
              <w:left w:val="nil"/>
              <w:right w:val="single" w:sz="2" w:space="0" w:color="auto"/>
            </w:tcBorders>
            <w:vAlign w:val="center"/>
          </w:tcPr>
          <w:p w:rsidR="00366A73" w:rsidRPr="00762DD0" w:rsidRDefault="00366A73" w:rsidP="00161F93">
            <w:pPr>
              <w:rPr>
                <w:sz w:val="18"/>
                <w:szCs w:val="18"/>
                <w:highlight w:val="red"/>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F77FE0"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F77FE0"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77FE0" w:rsidRDefault="00366A73" w:rsidP="00161F93">
            <w:pPr>
              <w:rPr>
                <w:sz w:val="18"/>
                <w:szCs w:val="18"/>
              </w:rPr>
            </w:pPr>
            <w:r w:rsidRPr="00F77FE0">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62DD0" w:rsidRDefault="00366A73" w:rsidP="00161F93">
            <w:pPr>
              <w:rPr>
                <w:sz w:val="18"/>
                <w:szCs w:val="18"/>
                <w:highlight w:val="red"/>
              </w:rPr>
            </w:pPr>
          </w:p>
        </w:tc>
        <w:tc>
          <w:tcPr>
            <w:tcW w:w="810" w:type="dxa"/>
            <w:vMerge/>
            <w:tcBorders>
              <w:left w:val="dotted" w:sz="4" w:space="0" w:color="auto"/>
              <w:bottom w:val="dotted" w:sz="4" w:space="0" w:color="auto"/>
              <w:right w:val="nil"/>
            </w:tcBorders>
            <w:vAlign w:val="center"/>
          </w:tcPr>
          <w:p w:rsidR="00366A73" w:rsidRPr="00762DD0" w:rsidRDefault="00366A73" w:rsidP="00161F93">
            <w:pPr>
              <w:rPr>
                <w:sz w:val="18"/>
                <w:szCs w:val="18"/>
                <w:highlight w:val="red"/>
              </w:rPr>
            </w:pPr>
          </w:p>
        </w:tc>
        <w:tc>
          <w:tcPr>
            <w:tcW w:w="900" w:type="dxa"/>
            <w:vMerge/>
            <w:tcBorders>
              <w:left w:val="nil"/>
              <w:bottom w:val="dotted" w:sz="4" w:space="0" w:color="auto"/>
              <w:right w:val="nil"/>
            </w:tcBorders>
            <w:vAlign w:val="center"/>
          </w:tcPr>
          <w:p w:rsidR="00366A73" w:rsidRPr="00762DD0" w:rsidRDefault="00366A73" w:rsidP="00161F93">
            <w:pPr>
              <w:rPr>
                <w:sz w:val="18"/>
                <w:szCs w:val="18"/>
                <w:highlight w:val="red"/>
              </w:rPr>
            </w:pPr>
          </w:p>
        </w:tc>
        <w:tc>
          <w:tcPr>
            <w:tcW w:w="1260" w:type="dxa"/>
            <w:vMerge/>
            <w:tcBorders>
              <w:left w:val="dotted" w:sz="4" w:space="0" w:color="auto"/>
              <w:bottom w:val="dotted" w:sz="4" w:space="0" w:color="auto"/>
              <w:right w:val="nil"/>
            </w:tcBorders>
            <w:vAlign w:val="center"/>
          </w:tcPr>
          <w:p w:rsidR="00366A73" w:rsidRPr="00762DD0" w:rsidRDefault="00366A73" w:rsidP="00161F93">
            <w:pPr>
              <w:rPr>
                <w:sz w:val="18"/>
                <w:szCs w:val="18"/>
                <w:highlight w:val="red"/>
              </w:rPr>
            </w:pPr>
          </w:p>
        </w:tc>
        <w:tc>
          <w:tcPr>
            <w:tcW w:w="540" w:type="dxa"/>
            <w:vMerge/>
            <w:tcBorders>
              <w:left w:val="nil"/>
              <w:bottom w:val="dotted" w:sz="4" w:space="0" w:color="auto"/>
              <w:right w:val="dotted" w:sz="4" w:space="0" w:color="auto"/>
            </w:tcBorders>
            <w:vAlign w:val="center"/>
          </w:tcPr>
          <w:p w:rsidR="00366A73" w:rsidRPr="00762DD0" w:rsidRDefault="00366A73" w:rsidP="00161F93">
            <w:pPr>
              <w:rPr>
                <w:sz w:val="18"/>
                <w:szCs w:val="18"/>
                <w:highlight w:val="red"/>
              </w:rPr>
            </w:pPr>
          </w:p>
        </w:tc>
        <w:tc>
          <w:tcPr>
            <w:tcW w:w="1800" w:type="dxa"/>
            <w:vMerge/>
            <w:tcBorders>
              <w:left w:val="dotted" w:sz="4" w:space="0" w:color="auto"/>
              <w:bottom w:val="dotted" w:sz="4" w:space="0" w:color="auto"/>
              <w:right w:val="nil"/>
            </w:tcBorders>
            <w:vAlign w:val="center"/>
          </w:tcPr>
          <w:p w:rsidR="00366A73" w:rsidRPr="00762DD0" w:rsidRDefault="00366A73" w:rsidP="00161F93">
            <w:pPr>
              <w:rPr>
                <w:sz w:val="18"/>
                <w:szCs w:val="18"/>
                <w:highlight w:val="red"/>
              </w:rPr>
            </w:pPr>
          </w:p>
        </w:tc>
        <w:tc>
          <w:tcPr>
            <w:tcW w:w="990" w:type="dxa"/>
            <w:gridSpan w:val="2"/>
            <w:vMerge/>
            <w:tcBorders>
              <w:left w:val="nil"/>
              <w:bottom w:val="dotted" w:sz="2" w:space="0" w:color="auto"/>
              <w:right w:val="single" w:sz="2" w:space="0" w:color="auto"/>
            </w:tcBorders>
            <w:vAlign w:val="center"/>
          </w:tcPr>
          <w:p w:rsidR="00366A73" w:rsidRPr="00762DD0" w:rsidRDefault="00366A73" w:rsidP="00161F93">
            <w:pPr>
              <w:rPr>
                <w:sz w:val="18"/>
                <w:szCs w:val="18"/>
                <w:highlight w:val="red"/>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77FE0" w:rsidRDefault="00366A73" w:rsidP="00161F93">
            <w:r w:rsidRPr="00F77FE0">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E303AB" w:rsidRPr="005621B3" w:rsidRDefault="00F77FE0" w:rsidP="001723BE">
            <w:pPr>
              <w:numPr>
                <w:ilvl w:val="0"/>
                <w:numId w:val="1"/>
              </w:numPr>
              <w:spacing w:before="40" w:after="40"/>
              <w:jc w:val="left"/>
              <w:rPr>
                <w:rFonts w:cs="Arial"/>
                <w:color w:val="000000" w:themeColor="text1"/>
                <w:szCs w:val="20"/>
              </w:rPr>
            </w:pPr>
            <w:r w:rsidRPr="00F77FE0">
              <w:rPr>
                <w:rFonts w:cs="Arial"/>
                <w:color w:val="000000" w:themeColor="text1"/>
                <w:szCs w:val="20"/>
              </w:rPr>
              <w:t>Energy and Sustainability</w:t>
            </w:r>
            <w:r w:rsidR="003F2FBA" w:rsidRPr="00F77FE0">
              <w:rPr>
                <w:rFonts w:cs="Arial"/>
                <w:color w:val="000000" w:themeColor="text1"/>
                <w:szCs w:val="20"/>
              </w:rPr>
              <w:t xml:space="preserve"> </w:t>
            </w:r>
            <w:r w:rsidR="001723BE" w:rsidRPr="005621B3">
              <w:rPr>
                <w:rFonts w:cs="Arial"/>
                <w:color w:val="000000" w:themeColor="text1"/>
                <w:szCs w:val="20"/>
              </w:rPr>
              <w:t xml:space="preserve">Team </w:t>
            </w:r>
            <w:r w:rsidR="00E303AB" w:rsidRPr="005621B3">
              <w:rPr>
                <w:rFonts w:cs="Arial"/>
                <w:color w:val="000000" w:themeColor="text1"/>
                <w:szCs w:val="20"/>
              </w:rPr>
              <w:t xml:space="preserve">headcount </w:t>
            </w:r>
            <w:r w:rsidR="001723BE" w:rsidRPr="005621B3">
              <w:rPr>
                <w:rFonts w:cs="Arial"/>
                <w:color w:val="000000" w:themeColor="text1"/>
                <w:szCs w:val="20"/>
              </w:rPr>
              <w:t xml:space="preserve">of </w:t>
            </w:r>
            <w:r w:rsidR="00C315E2" w:rsidRPr="005621B3">
              <w:rPr>
                <w:rFonts w:cs="Arial"/>
                <w:color w:val="000000" w:themeColor="text1"/>
                <w:szCs w:val="20"/>
              </w:rPr>
              <w:t>3</w:t>
            </w:r>
          </w:p>
          <w:p w:rsidR="006471DC" w:rsidRPr="005621B3" w:rsidRDefault="003C42E0" w:rsidP="00F77FE0">
            <w:pPr>
              <w:numPr>
                <w:ilvl w:val="0"/>
                <w:numId w:val="1"/>
              </w:numPr>
              <w:spacing w:before="40" w:after="40"/>
              <w:jc w:val="left"/>
              <w:rPr>
                <w:rFonts w:cs="Arial"/>
                <w:color w:val="000000" w:themeColor="text1"/>
                <w:szCs w:val="20"/>
              </w:rPr>
            </w:pPr>
            <w:r w:rsidRPr="005621B3">
              <w:rPr>
                <w:rFonts w:cs="Arial"/>
                <w:color w:val="000000" w:themeColor="text1"/>
                <w:szCs w:val="20"/>
              </w:rPr>
              <w:t>Management of a</w:t>
            </w:r>
            <w:r w:rsidR="00951C6C" w:rsidRPr="005621B3">
              <w:rPr>
                <w:rFonts w:cs="Arial"/>
                <w:color w:val="000000" w:themeColor="text1"/>
                <w:szCs w:val="20"/>
              </w:rPr>
              <w:t xml:space="preserve"> </w:t>
            </w:r>
            <w:r w:rsidR="00F77FE0" w:rsidRPr="005621B3">
              <w:rPr>
                <w:rFonts w:cs="Arial"/>
                <w:color w:val="000000" w:themeColor="text1"/>
                <w:szCs w:val="20"/>
              </w:rPr>
              <w:t xml:space="preserve">property portfolio of </w:t>
            </w:r>
            <w:r w:rsidR="00C315E2" w:rsidRPr="005621B3">
              <w:rPr>
                <w:rFonts w:cs="Arial"/>
                <w:color w:val="000000" w:themeColor="text1"/>
                <w:szCs w:val="20"/>
              </w:rPr>
              <w:t>~</w:t>
            </w:r>
            <w:r w:rsidR="0096106C" w:rsidRPr="005621B3">
              <w:rPr>
                <w:rFonts w:cs="Arial"/>
                <w:color w:val="000000" w:themeColor="text1"/>
                <w:szCs w:val="20"/>
              </w:rPr>
              <w:t>750</w:t>
            </w:r>
            <w:r w:rsidR="00951C6C" w:rsidRPr="005621B3">
              <w:rPr>
                <w:rFonts w:cs="Arial"/>
                <w:color w:val="000000" w:themeColor="text1"/>
                <w:szCs w:val="20"/>
              </w:rPr>
              <w:t xml:space="preserve"> </w:t>
            </w:r>
            <w:r w:rsidRPr="005621B3">
              <w:rPr>
                <w:rFonts w:cs="Arial"/>
                <w:color w:val="000000" w:themeColor="text1"/>
                <w:szCs w:val="20"/>
              </w:rPr>
              <w:t>building</w:t>
            </w:r>
            <w:r w:rsidR="00F77FE0" w:rsidRPr="005621B3">
              <w:rPr>
                <w:rFonts w:cs="Arial"/>
                <w:color w:val="000000" w:themeColor="text1"/>
                <w:szCs w:val="20"/>
              </w:rPr>
              <w:t>s</w:t>
            </w:r>
            <w:r w:rsidRPr="005621B3">
              <w:rPr>
                <w:rFonts w:cs="Arial"/>
                <w:color w:val="000000" w:themeColor="text1"/>
                <w:szCs w:val="20"/>
              </w:rPr>
              <w:t xml:space="preserve"> </w:t>
            </w:r>
            <w:r w:rsidR="00FD4664" w:rsidRPr="005621B3">
              <w:rPr>
                <w:rFonts w:cs="Arial"/>
                <w:color w:val="000000" w:themeColor="text1"/>
                <w:szCs w:val="20"/>
              </w:rPr>
              <w:t>across</w:t>
            </w:r>
            <w:r w:rsidR="00951C6C" w:rsidRPr="005621B3">
              <w:rPr>
                <w:rFonts w:cs="Arial"/>
                <w:color w:val="000000" w:themeColor="text1"/>
                <w:szCs w:val="20"/>
              </w:rPr>
              <w:t xml:space="preserve"> the UK</w:t>
            </w:r>
          </w:p>
          <w:p w:rsidR="0027206B" w:rsidRPr="00C315E2" w:rsidRDefault="00C315E2" w:rsidP="00C315E2">
            <w:pPr>
              <w:numPr>
                <w:ilvl w:val="0"/>
                <w:numId w:val="1"/>
              </w:numPr>
              <w:spacing w:before="40" w:after="40"/>
              <w:jc w:val="left"/>
              <w:rPr>
                <w:rFonts w:cs="Arial"/>
                <w:color w:val="000000" w:themeColor="text1"/>
                <w:szCs w:val="20"/>
              </w:rPr>
            </w:pPr>
            <w:r w:rsidRPr="005621B3">
              <w:rPr>
                <w:rFonts w:cs="Arial"/>
                <w:color w:val="000000" w:themeColor="text1"/>
                <w:szCs w:val="20"/>
              </w:rPr>
              <w:t>Manage overall utilities budget of ~£28 million</w:t>
            </w:r>
          </w:p>
        </w:tc>
      </w:tr>
    </w:tbl>
    <w:p w:rsidR="00366A73" w:rsidRPr="006658E1" w:rsidRDefault="00520545" w:rsidP="00366A73">
      <w:pPr>
        <w:rPr>
          <w:sz w:val="18"/>
        </w:rPr>
      </w:pPr>
      <w:r>
        <w:rPr>
          <w:rFonts w:cs="Arial"/>
          <w:noProof/>
          <w:sz w:val="18"/>
          <w:lang w:eastAsia="en-GB"/>
        </w:rPr>
        <mc:AlternateContent>
          <mc:Choice Requires="wps">
            <w:drawing>
              <wp:anchor distT="0" distB="0" distL="114300" distR="114300" simplePos="0" relativeHeight="251658752" behindDoc="0" locked="0" layoutInCell="1" allowOverlap="1" wp14:anchorId="5085FC9D" wp14:editId="3F38F0E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5FC9D" id="Text Box 36" o:spid="_x0000_s1027" type="#_x0000_t202" style="position:absolute;left:0;text-align:left;margin-left:558pt;margin-top:211.8pt;width:124.7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D80F4E">
        <w:trPr>
          <w:trHeight w:val="338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D376CF" w:rsidRDefault="00137A3F" w:rsidP="00D80F4E">
            <w:pPr>
              <w:spacing w:after="40"/>
              <w:jc w:val="center"/>
              <w:rPr>
                <w:rFonts w:cs="Arial"/>
                <w:sz w:val="14"/>
                <w:szCs w:val="20"/>
              </w:rPr>
            </w:pPr>
            <w:r>
              <w:rPr>
                <w:rFonts w:cs="Arial"/>
                <w:noProof/>
                <w:sz w:val="10"/>
                <w:szCs w:val="20"/>
                <w:lang w:eastAsia="en-GB"/>
              </w:rPr>
              <w:drawing>
                <wp:inline distT="0" distB="0" distL="0" distR="0" wp14:anchorId="1C943DE8" wp14:editId="7E17A925">
                  <wp:extent cx="4410075" cy="1933575"/>
                  <wp:effectExtent l="0" t="38100" r="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366A73" w:rsidRDefault="00366A73" w:rsidP="00366A73">
      <w:pPr>
        <w:jc w:val="left"/>
        <w:rPr>
          <w:rFonts w:cs="Arial"/>
        </w:rPr>
      </w:pPr>
    </w:p>
    <w:p w:rsidR="00762DD0" w:rsidRDefault="00762DD0" w:rsidP="00366A73">
      <w:pPr>
        <w:jc w:val="left"/>
        <w:rPr>
          <w:rFonts w:cs="Arial"/>
        </w:rPr>
      </w:pPr>
    </w:p>
    <w:tbl>
      <w:tblPr>
        <w:tblpPr w:leftFromText="180" w:rightFromText="180" w:vertAnchor="text" w:horzAnchor="margin" w:tblpXSpec="center" w:tblpY="192"/>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3"/>
      </w:tblGrid>
      <w:tr w:rsidR="00366A73" w:rsidRPr="0005177A" w:rsidTr="008B337C">
        <w:trPr>
          <w:trHeight w:val="710"/>
        </w:trPr>
        <w:tc>
          <w:tcPr>
            <w:tcW w:w="10463"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496516">
        <w:trPr>
          <w:trHeight w:val="1399"/>
        </w:trPr>
        <w:tc>
          <w:tcPr>
            <w:tcW w:w="10463" w:type="dxa"/>
            <w:tcBorders>
              <w:top w:val="dotted" w:sz="2" w:space="0" w:color="auto"/>
              <w:left w:val="single" w:sz="2" w:space="0" w:color="auto"/>
              <w:bottom w:val="single" w:sz="4" w:space="0" w:color="auto"/>
              <w:right w:val="single" w:sz="2" w:space="0" w:color="auto"/>
            </w:tcBorders>
          </w:tcPr>
          <w:p w:rsidR="003451A4" w:rsidRPr="003451A4" w:rsidRDefault="003451A4" w:rsidP="003451A4">
            <w:pPr>
              <w:spacing w:before="40" w:after="40"/>
              <w:ind w:left="720"/>
              <w:jc w:val="left"/>
              <w:rPr>
                <w:rFonts w:cs="Arial"/>
                <w:color w:val="FF0000"/>
                <w:szCs w:val="20"/>
              </w:rPr>
            </w:pPr>
          </w:p>
          <w:p w:rsidR="0027206B" w:rsidRPr="005621B3" w:rsidRDefault="00D80F4E" w:rsidP="00364E02">
            <w:pPr>
              <w:numPr>
                <w:ilvl w:val="0"/>
                <w:numId w:val="3"/>
              </w:numPr>
              <w:spacing w:before="40" w:after="40"/>
              <w:jc w:val="left"/>
              <w:rPr>
                <w:rFonts w:cs="Arial"/>
                <w:color w:val="000000" w:themeColor="text1"/>
                <w:szCs w:val="20"/>
              </w:rPr>
            </w:pPr>
            <w:r w:rsidRPr="005621B3">
              <w:rPr>
                <w:rFonts w:cs="Arial"/>
                <w:color w:val="000000" w:themeColor="text1"/>
                <w:szCs w:val="20"/>
              </w:rPr>
              <w:t>Oversi</w:t>
            </w:r>
            <w:r w:rsidR="00EB7CAD" w:rsidRPr="005621B3">
              <w:rPr>
                <w:rFonts w:cs="Arial"/>
                <w:color w:val="000000" w:themeColor="text1"/>
                <w:szCs w:val="20"/>
              </w:rPr>
              <w:t>ght and proactive management of</w:t>
            </w:r>
            <w:r w:rsidRPr="005621B3">
              <w:rPr>
                <w:rFonts w:cs="Arial"/>
                <w:color w:val="000000" w:themeColor="text1"/>
                <w:szCs w:val="20"/>
              </w:rPr>
              <w:t xml:space="preserve"> consumption across the estate to achieve greenhouse gas and water reductions on line with the Greening Government Commitments (GGC) and Client internal targets</w:t>
            </w:r>
          </w:p>
          <w:p w:rsidR="0027206B" w:rsidRPr="005621B3" w:rsidRDefault="00D80F4E" w:rsidP="00364E02">
            <w:pPr>
              <w:numPr>
                <w:ilvl w:val="0"/>
                <w:numId w:val="3"/>
              </w:numPr>
              <w:spacing w:before="40" w:after="40"/>
              <w:jc w:val="left"/>
              <w:rPr>
                <w:rFonts w:cs="Arial"/>
                <w:color w:val="000000" w:themeColor="text1"/>
                <w:szCs w:val="20"/>
              </w:rPr>
            </w:pPr>
            <w:r w:rsidRPr="005621B3">
              <w:rPr>
                <w:rFonts w:cs="Arial"/>
                <w:color w:val="000000" w:themeColor="text1"/>
                <w:szCs w:val="20"/>
              </w:rPr>
              <w:t xml:space="preserve">Manging the Carbon Reduction Commitment (CRC) budgetary risk for the Client </w:t>
            </w:r>
          </w:p>
          <w:p w:rsidR="00F77FE0" w:rsidRPr="005621B3" w:rsidRDefault="00364E02" w:rsidP="00364E02">
            <w:pPr>
              <w:numPr>
                <w:ilvl w:val="0"/>
                <w:numId w:val="3"/>
              </w:numPr>
              <w:spacing w:before="40" w:after="40"/>
              <w:jc w:val="left"/>
              <w:rPr>
                <w:rFonts w:cs="Arial"/>
                <w:color w:val="000000" w:themeColor="text1"/>
                <w:szCs w:val="20"/>
              </w:rPr>
            </w:pPr>
            <w:r w:rsidRPr="005621B3">
              <w:rPr>
                <w:rFonts w:cs="Arial"/>
                <w:color w:val="000000" w:themeColor="text1"/>
                <w:szCs w:val="20"/>
              </w:rPr>
              <w:t>Influencing sta</w:t>
            </w:r>
            <w:r w:rsidR="00D40878" w:rsidRPr="005621B3">
              <w:rPr>
                <w:rFonts w:cs="Arial"/>
                <w:color w:val="000000" w:themeColor="text1"/>
                <w:szCs w:val="20"/>
              </w:rPr>
              <w:t xml:space="preserve">keholders to drive improvements. This </w:t>
            </w:r>
            <w:r w:rsidRPr="005621B3">
              <w:rPr>
                <w:rFonts w:cs="Arial"/>
                <w:color w:val="000000" w:themeColor="text1"/>
                <w:szCs w:val="20"/>
              </w:rPr>
              <w:t>will involve w</w:t>
            </w:r>
            <w:r w:rsidR="00FC34AD" w:rsidRPr="005621B3">
              <w:rPr>
                <w:rFonts w:cs="Arial"/>
                <w:color w:val="000000" w:themeColor="text1"/>
                <w:szCs w:val="20"/>
              </w:rPr>
              <w:t>ork</w:t>
            </w:r>
            <w:r w:rsidRPr="005621B3">
              <w:rPr>
                <w:rFonts w:cs="Arial"/>
                <w:color w:val="000000" w:themeColor="text1"/>
                <w:szCs w:val="20"/>
              </w:rPr>
              <w:t>ing</w:t>
            </w:r>
            <w:r w:rsidR="00FC34AD" w:rsidRPr="005621B3">
              <w:rPr>
                <w:rFonts w:cs="Arial"/>
                <w:color w:val="000000" w:themeColor="text1"/>
                <w:szCs w:val="20"/>
              </w:rPr>
              <w:t xml:space="preserve"> closely with </w:t>
            </w:r>
            <w:r w:rsidR="00C74FC8" w:rsidRPr="005621B3">
              <w:rPr>
                <w:rFonts w:cs="Arial"/>
                <w:color w:val="000000" w:themeColor="text1"/>
                <w:szCs w:val="20"/>
              </w:rPr>
              <w:t xml:space="preserve">both </w:t>
            </w:r>
            <w:r w:rsidR="006E48EE" w:rsidRPr="005621B3">
              <w:rPr>
                <w:rFonts w:cs="Arial"/>
                <w:color w:val="000000" w:themeColor="text1"/>
                <w:szCs w:val="20"/>
              </w:rPr>
              <w:t xml:space="preserve">the client’s and </w:t>
            </w:r>
            <w:r w:rsidR="00E6718E" w:rsidRPr="005621B3">
              <w:rPr>
                <w:rFonts w:cs="Arial"/>
                <w:color w:val="000000" w:themeColor="text1"/>
                <w:szCs w:val="20"/>
              </w:rPr>
              <w:t>Sodexo’s</w:t>
            </w:r>
            <w:r w:rsidR="00CA1BD8" w:rsidRPr="005621B3">
              <w:rPr>
                <w:rFonts w:cs="Arial"/>
                <w:color w:val="000000" w:themeColor="text1"/>
                <w:szCs w:val="20"/>
              </w:rPr>
              <w:t xml:space="preserve"> suppliers, particularly the energy b</w:t>
            </w:r>
            <w:r w:rsidR="00FC34AD" w:rsidRPr="005621B3">
              <w:rPr>
                <w:rFonts w:cs="Arial"/>
                <w:color w:val="000000" w:themeColor="text1"/>
                <w:szCs w:val="20"/>
              </w:rPr>
              <w:t>ureau contractor</w:t>
            </w:r>
            <w:r w:rsidR="00D80F4E" w:rsidRPr="005621B3">
              <w:rPr>
                <w:rFonts w:cs="Arial"/>
                <w:color w:val="000000" w:themeColor="text1"/>
                <w:szCs w:val="20"/>
              </w:rPr>
              <w:t xml:space="preserve"> and facilities management contractor</w:t>
            </w:r>
            <w:r w:rsidR="00FC34AD" w:rsidRPr="005621B3">
              <w:rPr>
                <w:rFonts w:cs="Arial"/>
                <w:color w:val="000000" w:themeColor="text1"/>
                <w:szCs w:val="20"/>
              </w:rPr>
              <w:t>.</w:t>
            </w:r>
          </w:p>
          <w:p w:rsidR="00FC34AD" w:rsidRPr="005621B3" w:rsidRDefault="00416C1D" w:rsidP="00F77FE0">
            <w:pPr>
              <w:numPr>
                <w:ilvl w:val="0"/>
                <w:numId w:val="3"/>
              </w:numPr>
              <w:spacing w:before="40" w:after="40"/>
              <w:jc w:val="left"/>
              <w:rPr>
                <w:rFonts w:cs="Arial"/>
                <w:color w:val="000000" w:themeColor="text1"/>
                <w:szCs w:val="20"/>
              </w:rPr>
            </w:pPr>
            <w:r w:rsidRPr="005621B3">
              <w:rPr>
                <w:rFonts w:cs="Arial"/>
                <w:color w:val="000000" w:themeColor="text1"/>
                <w:szCs w:val="20"/>
              </w:rPr>
              <w:t>D</w:t>
            </w:r>
            <w:r w:rsidR="00364E02" w:rsidRPr="005621B3">
              <w:rPr>
                <w:rFonts w:cs="Arial"/>
                <w:color w:val="000000" w:themeColor="text1"/>
                <w:szCs w:val="20"/>
              </w:rPr>
              <w:t>riving innovation and industry best practice including development of</w:t>
            </w:r>
            <w:r w:rsidR="006017F6" w:rsidRPr="005621B3">
              <w:rPr>
                <w:rFonts w:cs="Arial"/>
                <w:color w:val="000000" w:themeColor="text1"/>
                <w:szCs w:val="20"/>
              </w:rPr>
              <w:t xml:space="preserve"> </w:t>
            </w:r>
            <w:r w:rsidRPr="005621B3">
              <w:rPr>
                <w:rFonts w:cs="Arial"/>
                <w:color w:val="000000" w:themeColor="text1"/>
                <w:szCs w:val="20"/>
              </w:rPr>
              <w:t>BMS remote monitoring and control solution for applicable buildings</w:t>
            </w:r>
            <w:r w:rsidR="00D80F4E" w:rsidRPr="005621B3">
              <w:rPr>
                <w:rFonts w:cs="Arial"/>
                <w:color w:val="000000" w:themeColor="text1"/>
                <w:szCs w:val="20"/>
              </w:rPr>
              <w:t xml:space="preserve"> and providing technical input into estate wide design standards</w:t>
            </w:r>
            <w:r w:rsidRPr="005621B3">
              <w:rPr>
                <w:rFonts w:cs="Arial"/>
                <w:color w:val="000000" w:themeColor="text1"/>
                <w:szCs w:val="20"/>
              </w:rPr>
              <w:t>.</w:t>
            </w:r>
          </w:p>
          <w:p w:rsidR="00762DD0" w:rsidRPr="005621B3" w:rsidRDefault="00364E02" w:rsidP="00FD6F4E">
            <w:pPr>
              <w:numPr>
                <w:ilvl w:val="0"/>
                <w:numId w:val="3"/>
              </w:numPr>
              <w:spacing w:before="40" w:after="40"/>
              <w:jc w:val="left"/>
              <w:rPr>
                <w:rFonts w:cs="Arial"/>
                <w:color w:val="000000" w:themeColor="text1"/>
                <w:szCs w:val="20"/>
              </w:rPr>
            </w:pPr>
            <w:r w:rsidRPr="005621B3">
              <w:rPr>
                <w:rFonts w:cs="Arial"/>
                <w:color w:val="000000" w:themeColor="text1"/>
                <w:szCs w:val="20"/>
              </w:rPr>
              <w:t>Maintaining knowledge of current and emerging energy regulation and managing data appropriately to ensure the estate is compliant</w:t>
            </w:r>
            <w:r w:rsidR="00E6718E" w:rsidRPr="005621B3">
              <w:rPr>
                <w:rFonts w:cs="Arial"/>
                <w:color w:val="000000" w:themeColor="text1"/>
                <w:szCs w:val="20"/>
              </w:rPr>
              <w:t>.</w:t>
            </w:r>
          </w:p>
          <w:p w:rsidR="00762DD0" w:rsidRPr="00842E71" w:rsidRDefault="00842E71" w:rsidP="00FD6F4E">
            <w:pPr>
              <w:numPr>
                <w:ilvl w:val="0"/>
                <w:numId w:val="3"/>
              </w:numPr>
              <w:spacing w:before="40" w:after="40"/>
              <w:jc w:val="left"/>
              <w:rPr>
                <w:rFonts w:cs="Arial"/>
                <w:color w:val="000000" w:themeColor="text1"/>
                <w:szCs w:val="20"/>
              </w:rPr>
            </w:pPr>
            <w:r w:rsidRPr="005621B3">
              <w:rPr>
                <w:rFonts w:cs="Arial"/>
                <w:color w:val="000000" w:themeColor="text1"/>
                <w:szCs w:val="20"/>
              </w:rPr>
              <w:t>Link</w:t>
            </w:r>
            <w:r w:rsidR="00762DD0" w:rsidRPr="005621B3">
              <w:rPr>
                <w:rFonts w:cs="Arial"/>
                <w:color w:val="000000" w:themeColor="text1"/>
                <w:szCs w:val="20"/>
              </w:rPr>
              <w:t xml:space="preserve"> utility performance with asset management, projects</w:t>
            </w:r>
            <w:r w:rsidR="00D40878" w:rsidRPr="005621B3">
              <w:rPr>
                <w:rFonts w:cs="Arial"/>
                <w:color w:val="000000" w:themeColor="text1"/>
                <w:szCs w:val="20"/>
              </w:rPr>
              <w:t>, estates information</w:t>
            </w:r>
            <w:r w:rsidR="00762DD0" w:rsidRPr="005621B3">
              <w:rPr>
                <w:rFonts w:cs="Arial"/>
                <w:color w:val="000000" w:themeColor="text1"/>
                <w:szCs w:val="20"/>
              </w:rPr>
              <w:t xml:space="preserve"> and operational use of the buildings</w:t>
            </w:r>
            <w:r w:rsidRPr="005621B3">
              <w:rPr>
                <w:rFonts w:cs="Arial"/>
                <w:color w:val="000000" w:themeColor="text1"/>
                <w:szCs w:val="20"/>
              </w:rPr>
              <w:t xml:space="preserve"> to provide</w:t>
            </w:r>
            <w:r w:rsidR="00D80F4E" w:rsidRPr="005621B3">
              <w:rPr>
                <w:rFonts w:cs="Arial"/>
                <w:color w:val="000000" w:themeColor="text1"/>
                <w:szCs w:val="20"/>
              </w:rPr>
              <w:t xml:space="preserve"> robust </w:t>
            </w:r>
            <w:r w:rsidR="00364E02" w:rsidRPr="005621B3">
              <w:rPr>
                <w:rFonts w:cs="Arial"/>
                <w:color w:val="000000" w:themeColor="text1"/>
                <w:szCs w:val="20"/>
              </w:rPr>
              <w:t>strategic</w:t>
            </w:r>
            <w:r w:rsidR="00364E02">
              <w:rPr>
                <w:rFonts w:cs="Arial"/>
                <w:color w:val="000000" w:themeColor="text1"/>
                <w:szCs w:val="20"/>
              </w:rPr>
              <w:t xml:space="preserve"> </w:t>
            </w:r>
            <w:r w:rsidRPr="00842E71">
              <w:rPr>
                <w:rFonts w:cs="Arial"/>
                <w:color w:val="000000" w:themeColor="text1"/>
                <w:szCs w:val="20"/>
              </w:rPr>
              <w:t>business cases</w:t>
            </w:r>
            <w:r w:rsidR="00E6718E" w:rsidRPr="00842E71">
              <w:rPr>
                <w:rFonts w:cs="Arial"/>
                <w:color w:val="000000" w:themeColor="text1"/>
                <w:szCs w:val="20"/>
              </w:rPr>
              <w:t>.</w:t>
            </w:r>
          </w:p>
          <w:p w:rsidR="00FD6F4E" w:rsidRPr="00842E71" w:rsidRDefault="00E6718E" w:rsidP="00FD6F4E">
            <w:pPr>
              <w:numPr>
                <w:ilvl w:val="0"/>
                <w:numId w:val="3"/>
              </w:numPr>
              <w:spacing w:before="40" w:after="40"/>
              <w:jc w:val="left"/>
              <w:rPr>
                <w:rFonts w:cs="Arial"/>
                <w:color w:val="000000" w:themeColor="text1"/>
                <w:szCs w:val="20"/>
              </w:rPr>
            </w:pPr>
            <w:r w:rsidRPr="00842E71">
              <w:rPr>
                <w:rFonts w:cs="Arial"/>
                <w:color w:val="000000" w:themeColor="text1"/>
                <w:szCs w:val="20"/>
              </w:rPr>
              <w:t>Manage large v</w:t>
            </w:r>
            <w:r w:rsidR="00FD6F4E" w:rsidRPr="00842E71">
              <w:rPr>
                <w:rFonts w:cs="Arial"/>
                <w:color w:val="000000" w:themeColor="text1"/>
                <w:szCs w:val="20"/>
              </w:rPr>
              <w:t>olume</w:t>
            </w:r>
            <w:r w:rsidRPr="00842E71">
              <w:rPr>
                <w:rFonts w:cs="Arial"/>
                <w:color w:val="000000" w:themeColor="text1"/>
                <w:szCs w:val="20"/>
              </w:rPr>
              <w:t xml:space="preserve">s </w:t>
            </w:r>
            <w:r w:rsidR="00CA1BD8" w:rsidRPr="00842E71">
              <w:rPr>
                <w:rFonts w:cs="Arial"/>
                <w:color w:val="000000" w:themeColor="text1"/>
                <w:szCs w:val="20"/>
              </w:rPr>
              <w:t>of</w:t>
            </w:r>
            <w:r w:rsidRPr="00842E71">
              <w:rPr>
                <w:rFonts w:cs="Arial"/>
                <w:color w:val="000000" w:themeColor="text1"/>
                <w:szCs w:val="20"/>
              </w:rPr>
              <w:t xml:space="preserve"> complex</w:t>
            </w:r>
            <w:r w:rsidR="00FD6F4E" w:rsidRPr="00842E71">
              <w:rPr>
                <w:rFonts w:cs="Arial"/>
                <w:color w:val="000000" w:themeColor="text1"/>
                <w:szCs w:val="20"/>
              </w:rPr>
              <w:t xml:space="preserve"> data </w:t>
            </w:r>
            <w:r w:rsidR="00B52A3E" w:rsidRPr="00842E71">
              <w:rPr>
                <w:rFonts w:cs="Arial"/>
                <w:color w:val="000000" w:themeColor="text1"/>
                <w:szCs w:val="20"/>
              </w:rPr>
              <w:t>from multiple sources</w:t>
            </w:r>
            <w:r w:rsidRPr="00842E71">
              <w:rPr>
                <w:rFonts w:cs="Arial"/>
                <w:color w:val="000000" w:themeColor="text1"/>
                <w:szCs w:val="20"/>
              </w:rPr>
              <w:t xml:space="preserve"> and</w:t>
            </w:r>
            <w:r w:rsidR="00B52A3E" w:rsidRPr="00842E71">
              <w:rPr>
                <w:rFonts w:cs="Arial"/>
                <w:color w:val="000000" w:themeColor="text1"/>
                <w:szCs w:val="20"/>
              </w:rPr>
              <w:t xml:space="preserve"> in differing formats</w:t>
            </w:r>
            <w:r w:rsidRPr="00842E71">
              <w:rPr>
                <w:rFonts w:cs="Arial"/>
                <w:color w:val="000000" w:themeColor="text1"/>
                <w:szCs w:val="20"/>
              </w:rPr>
              <w:t>.</w:t>
            </w:r>
          </w:p>
          <w:p w:rsidR="00FD6F4E" w:rsidRPr="00842E71" w:rsidRDefault="00FD6F4E" w:rsidP="00FD6F4E">
            <w:pPr>
              <w:numPr>
                <w:ilvl w:val="0"/>
                <w:numId w:val="3"/>
              </w:numPr>
              <w:spacing w:before="40" w:after="40"/>
              <w:jc w:val="left"/>
              <w:rPr>
                <w:rFonts w:cs="Arial"/>
                <w:color w:val="000000" w:themeColor="text1"/>
                <w:szCs w:val="20"/>
              </w:rPr>
            </w:pPr>
            <w:r w:rsidRPr="00842E71">
              <w:rPr>
                <w:rFonts w:cs="Arial"/>
                <w:color w:val="000000" w:themeColor="text1"/>
                <w:szCs w:val="20"/>
              </w:rPr>
              <w:t xml:space="preserve">Interpretation of </w:t>
            </w:r>
            <w:r w:rsidR="00B52A3E" w:rsidRPr="00842E71">
              <w:rPr>
                <w:rFonts w:cs="Arial"/>
                <w:color w:val="000000" w:themeColor="text1"/>
                <w:szCs w:val="20"/>
              </w:rPr>
              <w:t xml:space="preserve">data findings into </w:t>
            </w:r>
            <w:r w:rsidR="00E6718E" w:rsidRPr="00842E71">
              <w:rPr>
                <w:rFonts w:cs="Arial"/>
                <w:color w:val="000000" w:themeColor="text1"/>
                <w:szCs w:val="20"/>
              </w:rPr>
              <w:t>presentable insightful</w:t>
            </w:r>
            <w:r w:rsidR="00B52A3E" w:rsidRPr="00842E71">
              <w:rPr>
                <w:rFonts w:cs="Arial"/>
                <w:color w:val="000000" w:themeColor="text1"/>
                <w:szCs w:val="20"/>
              </w:rPr>
              <w:t xml:space="preserve"> information</w:t>
            </w:r>
            <w:r w:rsidRPr="00842E71">
              <w:rPr>
                <w:rFonts w:cs="Arial"/>
                <w:color w:val="000000" w:themeColor="text1"/>
                <w:szCs w:val="20"/>
              </w:rPr>
              <w:t xml:space="preserve"> </w:t>
            </w:r>
            <w:r w:rsidR="00B52A3E" w:rsidRPr="00842E71">
              <w:rPr>
                <w:rFonts w:cs="Arial"/>
                <w:color w:val="000000" w:themeColor="text1"/>
                <w:szCs w:val="20"/>
              </w:rPr>
              <w:t xml:space="preserve">that will improve the portfolio’s </w:t>
            </w:r>
            <w:r w:rsidR="00E6718E" w:rsidRPr="00842E71">
              <w:rPr>
                <w:rFonts w:cs="Arial"/>
                <w:color w:val="000000" w:themeColor="text1"/>
                <w:szCs w:val="20"/>
              </w:rPr>
              <w:t>environmental</w:t>
            </w:r>
            <w:r w:rsidR="00B52A3E" w:rsidRPr="00842E71">
              <w:rPr>
                <w:rFonts w:cs="Arial"/>
                <w:color w:val="000000" w:themeColor="text1"/>
                <w:szCs w:val="20"/>
              </w:rPr>
              <w:t xml:space="preserve"> and estate performance</w:t>
            </w:r>
            <w:r w:rsidR="00E6718E" w:rsidRPr="00842E71">
              <w:rPr>
                <w:rFonts w:cs="Arial"/>
                <w:color w:val="000000" w:themeColor="text1"/>
                <w:szCs w:val="20"/>
              </w:rPr>
              <w:t>.</w:t>
            </w:r>
          </w:p>
          <w:p w:rsidR="00137A3F" w:rsidRPr="00CE0723" w:rsidRDefault="00137A3F" w:rsidP="00B52A3E">
            <w:pPr>
              <w:spacing w:before="40" w:after="40"/>
              <w:ind w:left="720"/>
              <w:jc w:val="left"/>
              <w:rPr>
                <w:rFonts w:cs="Arial"/>
                <w:color w:val="000000" w:themeColor="text1"/>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29543B" w:rsidRPr="00FD6F4E" w:rsidRDefault="0029543B" w:rsidP="00FD6F4E">
            <w:pPr>
              <w:rPr>
                <w:rFonts w:cs="Arial"/>
                <w:color w:val="000000" w:themeColor="text1"/>
              </w:rPr>
            </w:pPr>
          </w:p>
          <w:p w:rsidR="0027206B" w:rsidRPr="005621B3" w:rsidRDefault="005A774A" w:rsidP="0027206B">
            <w:pPr>
              <w:pStyle w:val="ListParagraph"/>
              <w:numPr>
                <w:ilvl w:val="0"/>
                <w:numId w:val="14"/>
              </w:numPr>
              <w:contextualSpacing w:val="0"/>
              <w:rPr>
                <w:rFonts w:cs="Arial"/>
                <w:color w:val="000000" w:themeColor="text1"/>
              </w:rPr>
            </w:pPr>
            <w:r w:rsidRPr="005621B3">
              <w:rPr>
                <w:rFonts w:cs="Arial"/>
                <w:color w:val="000000" w:themeColor="text1"/>
              </w:rPr>
              <w:t>Provide the t</w:t>
            </w:r>
            <w:r w:rsidR="0027206B" w:rsidRPr="005621B3">
              <w:rPr>
                <w:rFonts w:cs="Arial"/>
                <w:color w:val="000000" w:themeColor="text1"/>
              </w:rPr>
              <w:t>echnical leadership</w:t>
            </w:r>
            <w:r w:rsidRPr="005621B3">
              <w:rPr>
                <w:rFonts w:cs="Arial"/>
                <w:color w:val="000000" w:themeColor="text1"/>
              </w:rPr>
              <w:t xml:space="preserve"> for the account on all energy related matters, liaising and advising the client, internal estates, projects and asset teams and sub</w:t>
            </w:r>
            <w:r w:rsidR="00901FC5" w:rsidRPr="005621B3">
              <w:rPr>
                <w:rFonts w:cs="Arial"/>
                <w:color w:val="000000" w:themeColor="text1"/>
              </w:rPr>
              <w:t>-</w:t>
            </w:r>
            <w:r w:rsidRPr="005621B3">
              <w:rPr>
                <w:rFonts w:cs="Arial"/>
                <w:color w:val="000000" w:themeColor="text1"/>
              </w:rPr>
              <w:t>contractors</w:t>
            </w:r>
          </w:p>
          <w:p w:rsidR="0027206B" w:rsidRPr="005621B3" w:rsidRDefault="005A774A" w:rsidP="0027206B">
            <w:pPr>
              <w:numPr>
                <w:ilvl w:val="0"/>
                <w:numId w:val="14"/>
              </w:numPr>
              <w:spacing w:before="40" w:after="40"/>
              <w:jc w:val="left"/>
              <w:rPr>
                <w:rFonts w:cs="Arial"/>
                <w:color w:val="000000" w:themeColor="text1"/>
                <w:szCs w:val="20"/>
              </w:rPr>
            </w:pPr>
            <w:r w:rsidRPr="005621B3">
              <w:rPr>
                <w:rFonts w:cs="Arial"/>
                <w:color w:val="000000" w:themeColor="text1"/>
                <w:szCs w:val="20"/>
              </w:rPr>
              <w:t xml:space="preserve">Ensure the energy related legal compliance across the estate including </w:t>
            </w:r>
            <w:r w:rsidR="0027206B" w:rsidRPr="005621B3">
              <w:rPr>
                <w:rFonts w:cs="Arial"/>
                <w:color w:val="000000" w:themeColor="text1"/>
                <w:szCs w:val="20"/>
              </w:rPr>
              <w:t>EPC’</w:t>
            </w:r>
            <w:r w:rsidRPr="005621B3">
              <w:rPr>
                <w:rFonts w:cs="Arial"/>
                <w:color w:val="000000" w:themeColor="text1"/>
                <w:szCs w:val="20"/>
              </w:rPr>
              <w:t>s,</w:t>
            </w:r>
            <w:r w:rsidR="0027206B" w:rsidRPr="005621B3">
              <w:rPr>
                <w:rFonts w:cs="Arial"/>
                <w:color w:val="000000" w:themeColor="text1"/>
                <w:szCs w:val="20"/>
              </w:rPr>
              <w:t xml:space="preserve"> DEC’s</w:t>
            </w:r>
            <w:r w:rsidRPr="005621B3">
              <w:rPr>
                <w:rFonts w:cs="Arial"/>
                <w:color w:val="000000" w:themeColor="text1"/>
                <w:szCs w:val="20"/>
              </w:rPr>
              <w:t xml:space="preserve"> and TM44 production</w:t>
            </w:r>
          </w:p>
          <w:p w:rsidR="0027206B" w:rsidRPr="005621B3" w:rsidRDefault="005A774A" w:rsidP="0027206B">
            <w:pPr>
              <w:numPr>
                <w:ilvl w:val="0"/>
                <w:numId w:val="14"/>
              </w:numPr>
              <w:spacing w:before="40" w:after="40"/>
              <w:jc w:val="left"/>
              <w:rPr>
                <w:rFonts w:cs="Arial"/>
                <w:color w:val="000000" w:themeColor="text1"/>
                <w:szCs w:val="20"/>
              </w:rPr>
            </w:pPr>
            <w:r w:rsidRPr="005621B3">
              <w:rPr>
                <w:rFonts w:cs="Arial"/>
                <w:color w:val="000000" w:themeColor="text1"/>
                <w:szCs w:val="20"/>
              </w:rPr>
              <w:t>Provide technical input into estate wide d</w:t>
            </w:r>
            <w:r w:rsidR="0027206B" w:rsidRPr="005621B3">
              <w:rPr>
                <w:rFonts w:cs="Arial"/>
                <w:color w:val="000000" w:themeColor="text1"/>
                <w:szCs w:val="20"/>
              </w:rPr>
              <w:t>esign standards</w:t>
            </w:r>
          </w:p>
          <w:p w:rsidR="0027206B" w:rsidRPr="005621B3" w:rsidRDefault="0027206B" w:rsidP="0027206B">
            <w:pPr>
              <w:pStyle w:val="ListParagraph"/>
              <w:numPr>
                <w:ilvl w:val="0"/>
                <w:numId w:val="14"/>
              </w:numPr>
              <w:contextualSpacing w:val="0"/>
              <w:rPr>
                <w:rFonts w:cs="Arial"/>
                <w:color w:val="000000" w:themeColor="text1"/>
              </w:rPr>
            </w:pPr>
            <w:r w:rsidRPr="005621B3">
              <w:rPr>
                <w:rFonts w:cs="Arial"/>
                <w:color w:val="000000" w:themeColor="text1"/>
              </w:rPr>
              <w:t xml:space="preserve">Translate </w:t>
            </w:r>
            <w:r w:rsidR="005A774A" w:rsidRPr="005621B3">
              <w:rPr>
                <w:rFonts w:cs="Arial"/>
                <w:color w:val="000000" w:themeColor="text1"/>
              </w:rPr>
              <w:t xml:space="preserve">energy related </w:t>
            </w:r>
            <w:r w:rsidRPr="005621B3">
              <w:rPr>
                <w:rFonts w:cs="Arial"/>
                <w:color w:val="000000" w:themeColor="text1"/>
              </w:rPr>
              <w:t>techn</w:t>
            </w:r>
            <w:r w:rsidR="00901FC5" w:rsidRPr="005621B3">
              <w:rPr>
                <w:rFonts w:cs="Arial"/>
                <w:color w:val="000000" w:themeColor="text1"/>
              </w:rPr>
              <w:t>ical requirements to surveyors,</w:t>
            </w:r>
            <w:r w:rsidRPr="005621B3">
              <w:rPr>
                <w:rFonts w:cs="Arial"/>
                <w:color w:val="000000" w:themeColor="text1"/>
              </w:rPr>
              <w:t xml:space="preserve"> survey </w:t>
            </w:r>
            <w:r w:rsidR="00901FC5" w:rsidRPr="005621B3">
              <w:rPr>
                <w:rFonts w:cs="Arial"/>
                <w:color w:val="000000" w:themeColor="text1"/>
              </w:rPr>
              <w:t xml:space="preserve">and project </w:t>
            </w:r>
            <w:r w:rsidRPr="005621B3">
              <w:rPr>
                <w:rFonts w:cs="Arial"/>
                <w:color w:val="000000" w:themeColor="text1"/>
              </w:rPr>
              <w:t>team</w:t>
            </w:r>
            <w:r w:rsidR="00901FC5" w:rsidRPr="005621B3">
              <w:rPr>
                <w:rFonts w:cs="Arial"/>
                <w:color w:val="000000" w:themeColor="text1"/>
              </w:rPr>
              <w:t>s</w:t>
            </w:r>
          </w:p>
          <w:p w:rsidR="0027206B" w:rsidRPr="005621B3" w:rsidRDefault="005A774A" w:rsidP="003916F0">
            <w:pPr>
              <w:pStyle w:val="ListParagraph"/>
              <w:numPr>
                <w:ilvl w:val="0"/>
                <w:numId w:val="14"/>
              </w:numPr>
              <w:contextualSpacing w:val="0"/>
              <w:rPr>
                <w:rFonts w:cs="Arial"/>
                <w:color w:val="000000" w:themeColor="text1"/>
              </w:rPr>
            </w:pPr>
            <w:r w:rsidRPr="005621B3">
              <w:rPr>
                <w:rFonts w:cs="Arial"/>
                <w:color w:val="000000" w:themeColor="text1"/>
              </w:rPr>
              <w:t>Support development and ensure timely completion of our</w:t>
            </w:r>
            <w:r w:rsidR="003916F0" w:rsidRPr="005621B3">
              <w:rPr>
                <w:rFonts w:cs="Arial"/>
                <w:color w:val="000000" w:themeColor="text1"/>
              </w:rPr>
              <w:t xml:space="preserve"> Energy Management</w:t>
            </w:r>
            <w:r w:rsidRPr="005621B3">
              <w:rPr>
                <w:rFonts w:cs="Arial"/>
                <w:color w:val="000000" w:themeColor="text1"/>
              </w:rPr>
              <w:t xml:space="preserve"> Plan</w:t>
            </w:r>
            <w:r w:rsidR="003916F0" w:rsidRPr="005621B3">
              <w:rPr>
                <w:rFonts w:cs="Arial"/>
                <w:color w:val="000000" w:themeColor="text1"/>
              </w:rPr>
              <w:t xml:space="preserve"> </w:t>
            </w:r>
          </w:p>
          <w:p w:rsidR="00FC32FA" w:rsidRPr="005621B3" w:rsidRDefault="00FC32FA" w:rsidP="0027206B">
            <w:pPr>
              <w:pStyle w:val="ListParagraph"/>
              <w:numPr>
                <w:ilvl w:val="0"/>
                <w:numId w:val="14"/>
              </w:numPr>
              <w:contextualSpacing w:val="0"/>
              <w:rPr>
                <w:rFonts w:cs="Arial"/>
                <w:color w:val="000000" w:themeColor="text1"/>
              </w:rPr>
            </w:pPr>
            <w:r w:rsidRPr="005621B3">
              <w:rPr>
                <w:rFonts w:cs="Arial"/>
                <w:color w:val="000000" w:themeColor="text1"/>
              </w:rPr>
              <w:t xml:space="preserve">Understand </w:t>
            </w:r>
            <w:r w:rsidR="005A774A" w:rsidRPr="005621B3">
              <w:rPr>
                <w:rFonts w:cs="Arial"/>
                <w:color w:val="000000" w:themeColor="text1"/>
              </w:rPr>
              <w:t xml:space="preserve">and support development of </w:t>
            </w:r>
            <w:r w:rsidRPr="005621B3">
              <w:rPr>
                <w:rFonts w:cs="Arial"/>
                <w:color w:val="000000" w:themeColor="text1"/>
              </w:rPr>
              <w:t>client strategy, objectives and tactical requirements and how these inform the focus of business intelligence activity</w:t>
            </w:r>
            <w:r w:rsidR="00D40878" w:rsidRPr="005621B3">
              <w:rPr>
                <w:rFonts w:cs="Arial"/>
                <w:color w:val="000000" w:themeColor="text1"/>
              </w:rPr>
              <w:t>.</w:t>
            </w:r>
          </w:p>
          <w:p w:rsidR="00AE11D6" w:rsidRPr="005621B3" w:rsidRDefault="00D20794" w:rsidP="0027206B">
            <w:pPr>
              <w:pStyle w:val="ListParagraph"/>
              <w:numPr>
                <w:ilvl w:val="0"/>
                <w:numId w:val="14"/>
              </w:numPr>
              <w:contextualSpacing w:val="0"/>
              <w:rPr>
                <w:rFonts w:cs="Arial"/>
                <w:color w:val="000000" w:themeColor="text1"/>
              </w:rPr>
            </w:pPr>
            <w:r w:rsidRPr="005621B3">
              <w:rPr>
                <w:rFonts w:cs="Arial"/>
                <w:color w:val="000000" w:themeColor="text1"/>
              </w:rPr>
              <w:t>Review and manage the delivery of the client’s monthly</w:t>
            </w:r>
            <w:r w:rsidR="00AE11D6" w:rsidRPr="005621B3">
              <w:rPr>
                <w:rFonts w:cs="Arial"/>
                <w:color w:val="000000" w:themeColor="text1"/>
              </w:rPr>
              <w:t xml:space="preserve"> management information report including utilities, and sustainability performance and financial metrics.</w:t>
            </w:r>
          </w:p>
          <w:p w:rsidR="00364E02" w:rsidRDefault="00364E02" w:rsidP="0027206B">
            <w:pPr>
              <w:pStyle w:val="ListParagraph"/>
              <w:numPr>
                <w:ilvl w:val="0"/>
                <w:numId w:val="14"/>
              </w:numPr>
              <w:contextualSpacing w:val="0"/>
              <w:rPr>
                <w:rFonts w:cs="Arial"/>
                <w:color w:val="000000" w:themeColor="text1"/>
              </w:rPr>
            </w:pPr>
            <w:r>
              <w:rPr>
                <w:rFonts w:cs="Arial"/>
                <w:color w:val="000000" w:themeColor="text1"/>
                <w:szCs w:val="20"/>
              </w:rPr>
              <w:lastRenderedPageBreak/>
              <w:t>Work</w:t>
            </w:r>
            <w:r w:rsidRPr="002477FF">
              <w:rPr>
                <w:rFonts w:cs="Arial"/>
                <w:color w:val="000000" w:themeColor="text1"/>
                <w:szCs w:val="20"/>
              </w:rPr>
              <w:t xml:space="preserve"> closely with </w:t>
            </w:r>
            <w:r>
              <w:rPr>
                <w:rFonts w:cs="Arial"/>
                <w:color w:val="000000" w:themeColor="text1"/>
                <w:szCs w:val="20"/>
              </w:rPr>
              <w:t>Sodexo’s</w:t>
            </w:r>
            <w:r w:rsidRPr="002477FF">
              <w:rPr>
                <w:rFonts w:cs="Arial"/>
                <w:color w:val="000000" w:themeColor="text1"/>
                <w:szCs w:val="20"/>
              </w:rPr>
              <w:t xml:space="preserve"> Energy</w:t>
            </w:r>
            <w:r>
              <w:rPr>
                <w:rFonts w:cs="Arial"/>
                <w:color w:val="000000" w:themeColor="text1"/>
                <w:szCs w:val="20"/>
              </w:rPr>
              <w:t xml:space="preserve"> Performance</w:t>
            </w:r>
            <w:r w:rsidRPr="002477FF">
              <w:rPr>
                <w:rFonts w:cs="Arial"/>
                <w:color w:val="000000" w:themeColor="text1"/>
                <w:szCs w:val="20"/>
              </w:rPr>
              <w:t xml:space="preserve"> Analyst, </w:t>
            </w:r>
            <w:r w:rsidR="00C74FC8" w:rsidRPr="002477FF">
              <w:rPr>
                <w:rFonts w:cs="Arial"/>
                <w:color w:val="000000" w:themeColor="text1"/>
                <w:szCs w:val="20"/>
              </w:rPr>
              <w:t>us</w:t>
            </w:r>
            <w:r w:rsidR="00C74FC8">
              <w:rPr>
                <w:rFonts w:cs="Arial"/>
                <w:color w:val="000000" w:themeColor="text1"/>
                <w:szCs w:val="20"/>
              </w:rPr>
              <w:t>ing</w:t>
            </w:r>
            <w:r w:rsidR="00C74FC8" w:rsidRPr="002477FF">
              <w:rPr>
                <w:rFonts w:cs="Arial"/>
                <w:color w:val="000000" w:themeColor="text1"/>
                <w:szCs w:val="20"/>
              </w:rPr>
              <w:t xml:space="preserve"> </w:t>
            </w:r>
            <w:r w:rsidRPr="002477FF">
              <w:rPr>
                <w:rFonts w:cs="Arial"/>
                <w:color w:val="000000" w:themeColor="text1"/>
                <w:szCs w:val="20"/>
              </w:rPr>
              <w:t>insight from building and utilities data to identify energy saving opportunities, energy wastage and direct targeted energy audits and surveys.</w:t>
            </w:r>
          </w:p>
          <w:p w:rsidR="00364E02" w:rsidRDefault="00364E02" w:rsidP="0027206B">
            <w:pPr>
              <w:pStyle w:val="ListParagraph"/>
              <w:numPr>
                <w:ilvl w:val="0"/>
                <w:numId w:val="14"/>
              </w:numPr>
              <w:rPr>
                <w:rFonts w:cs="Arial"/>
                <w:color w:val="000000" w:themeColor="text1"/>
              </w:rPr>
            </w:pPr>
            <w:r w:rsidRPr="00EE7214">
              <w:rPr>
                <w:rFonts w:cs="Arial"/>
                <w:color w:val="000000" w:themeColor="text1"/>
              </w:rPr>
              <w:t xml:space="preserve">To provide technical engineering support and implementation to </w:t>
            </w:r>
            <w:r>
              <w:rPr>
                <w:rFonts w:cs="Arial"/>
                <w:color w:val="000000" w:themeColor="text1"/>
              </w:rPr>
              <w:t>our client</w:t>
            </w:r>
            <w:r w:rsidRPr="00EE7214">
              <w:rPr>
                <w:rFonts w:cs="Arial"/>
                <w:color w:val="000000" w:themeColor="text1"/>
              </w:rPr>
              <w:t xml:space="preserve"> relating to energy efficiency</w:t>
            </w:r>
            <w:r>
              <w:rPr>
                <w:rFonts w:cs="Arial"/>
                <w:color w:val="000000" w:themeColor="text1"/>
              </w:rPr>
              <w:t xml:space="preserve"> as part of asset lifecycle, projects and estates strategy</w:t>
            </w:r>
            <w:r w:rsidRPr="00EE7214">
              <w:rPr>
                <w:rFonts w:cs="Arial"/>
                <w:color w:val="000000" w:themeColor="text1"/>
              </w:rPr>
              <w:t>.</w:t>
            </w:r>
          </w:p>
          <w:p w:rsidR="009701FB" w:rsidRPr="00EA6C80" w:rsidRDefault="009701FB" w:rsidP="0027206B">
            <w:pPr>
              <w:pStyle w:val="ListParagraph"/>
              <w:numPr>
                <w:ilvl w:val="0"/>
                <w:numId w:val="14"/>
              </w:numPr>
              <w:rPr>
                <w:rFonts w:cs="Arial"/>
                <w:color w:val="000000" w:themeColor="text1"/>
              </w:rPr>
            </w:pPr>
            <w:r w:rsidRPr="00EA6C80">
              <w:rPr>
                <w:rFonts w:cs="Arial"/>
                <w:color w:val="000000" w:themeColor="text1"/>
              </w:rPr>
              <w:t xml:space="preserve">Provide detailed professional and technical advice regarding the operation and maintenance of the energy consuming infrastructure to deliver optimal carbon and energy efficiency, including boilers, chillers, HVAC systems, lighting etc. </w:t>
            </w:r>
          </w:p>
          <w:p w:rsidR="00D20794" w:rsidRPr="009701FB" w:rsidRDefault="00D20794" w:rsidP="0027206B">
            <w:pPr>
              <w:pStyle w:val="ListParagraph"/>
              <w:numPr>
                <w:ilvl w:val="0"/>
                <w:numId w:val="14"/>
              </w:numPr>
              <w:rPr>
                <w:rFonts w:cs="Arial"/>
                <w:color w:val="000000" w:themeColor="text1"/>
              </w:rPr>
            </w:pPr>
            <w:r w:rsidRPr="009701FB">
              <w:rPr>
                <w:rFonts w:cs="Arial"/>
                <w:color w:val="000000" w:themeColor="text1"/>
              </w:rPr>
              <w:t>Develop supplier relationship</w:t>
            </w:r>
            <w:r w:rsidR="00C74FC8">
              <w:rPr>
                <w:rFonts w:cs="Arial"/>
                <w:color w:val="000000" w:themeColor="text1"/>
              </w:rPr>
              <w:t>s</w:t>
            </w:r>
            <w:r w:rsidRPr="009701FB">
              <w:rPr>
                <w:rFonts w:cs="Arial"/>
                <w:color w:val="000000" w:themeColor="text1"/>
              </w:rPr>
              <w:t xml:space="preserve"> to manage delivery of energy improvements and report on progress made.</w:t>
            </w:r>
          </w:p>
          <w:p w:rsidR="00EA6C80" w:rsidRDefault="00EA6C80" w:rsidP="0027206B">
            <w:pPr>
              <w:pStyle w:val="ListParagraph"/>
              <w:numPr>
                <w:ilvl w:val="0"/>
                <w:numId w:val="14"/>
              </w:numPr>
              <w:contextualSpacing w:val="0"/>
              <w:rPr>
                <w:rFonts w:cs="Arial"/>
                <w:color w:val="000000" w:themeColor="text1"/>
              </w:rPr>
            </w:pPr>
            <w:r>
              <w:rPr>
                <w:rFonts w:cs="Arial"/>
                <w:color w:val="000000" w:themeColor="text1"/>
              </w:rPr>
              <w:t>Monitor emerging e</w:t>
            </w:r>
            <w:r w:rsidR="00364E02">
              <w:rPr>
                <w:rFonts w:cs="Arial"/>
                <w:color w:val="000000" w:themeColor="text1"/>
              </w:rPr>
              <w:t>nergy related legal compliance and update the legal register and stakeholders as appropriate.</w:t>
            </w:r>
          </w:p>
          <w:p w:rsidR="004E515D" w:rsidRDefault="004E515D" w:rsidP="0027206B">
            <w:pPr>
              <w:pStyle w:val="ListParagraph"/>
              <w:numPr>
                <w:ilvl w:val="0"/>
                <w:numId w:val="14"/>
              </w:numPr>
              <w:contextualSpacing w:val="0"/>
              <w:rPr>
                <w:rFonts w:cs="Arial"/>
                <w:color w:val="000000" w:themeColor="text1"/>
              </w:rPr>
            </w:pPr>
            <w:r>
              <w:rPr>
                <w:rFonts w:cs="Arial"/>
                <w:color w:val="000000" w:themeColor="text1"/>
              </w:rPr>
              <w:t>Communications and reporting to contractors, relating to energy and sustainability performance and improvements.</w:t>
            </w:r>
          </w:p>
          <w:p w:rsidR="00005280" w:rsidRDefault="00005280" w:rsidP="0027206B">
            <w:pPr>
              <w:pStyle w:val="ListParagraph"/>
              <w:numPr>
                <w:ilvl w:val="0"/>
                <w:numId w:val="14"/>
              </w:numPr>
              <w:contextualSpacing w:val="0"/>
              <w:rPr>
                <w:rFonts w:cs="Arial"/>
                <w:color w:val="000000" w:themeColor="text1"/>
              </w:rPr>
            </w:pPr>
            <w:r>
              <w:rPr>
                <w:rFonts w:cs="Arial"/>
                <w:color w:val="000000" w:themeColor="text1"/>
              </w:rPr>
              <w:t>Energy audits in line with ISO 50002 Energy Auditing Standard requirements.</w:t>
            </w:r>
          </w:p>
          <w:p w:rsidR="00EA6C80" w:rsidRPr="00EA6C80" w:rsidRDefault="00EA6C80" w:rsidP="0027206B">
            <w:pPr>
              <w:pStyle w:val="ListParagraph"/>
              <w:numPr>
                <w:ilvl w:val="0"/>
                <w:numId w:val="14"/>
              </w:numPr>
              <w:rPr>
                <w:rFonts w:cs="Arial"/>
                <w:color w:val="000000" w:themeColor="text1"/>
              </w:rPr>
            </w:pPr>
            <w:r w:rsidRPr="00EA6C80">
              <w:rPr>
                <w:rFonts w:cs="Arial"/>
                <w:color w:val="000000" w:themeColor="text1"/>
              </w:rPr>
              <w:t xml:space="preserve">Carry out audits of installed energy-efficiency and carbon reduction schemes to assess their performance and identify improvements </w:t>
            </w:r>
            <w:r w:rsidR="00C74FC8">
              <w:rPr>
                <w:rFonts w:cs="Arial"/>
                <w:color w:val="000000" w:themeColor="text1"/>
              </w:rPr>
              <w:t>for</w:t>
            </w:r>
            <w:r w:rsidRPr="00EA6C80">
              <w:rPr>
                <w:rFonts w:cs="Arial"/>
                <w:color w:val="000000" w:themeColor="text1"/>
              </w:rPr>
              <w:t xml:space="preserve"> future schemes.</w:t>
            </w:r>
          </w:p>
          <w:p w:rsidR="00EA6C80" w:rsidRPr="005621B3" w:rsidRDefault="00EA6C80" w:rsidP="0027206B">
            <w:pPr>
              <w:pStyle w:val="ListParagraph"/>
              <w:numPr>
                <w:ilvl w:val="0"/>
                <w:numId w:val="14"/>
              </w:numPr>
              <w:rPr>
                <w:rFonts w:cs="Arial"/>
                <w:color w:val="000000" w:themeColor="text1"/>
              </w:rPr>
            </w:pPr>
            <w:r w:rsidRPr="005621B3">
              <w:rPr>
                <w:rFonts w:cs="Arial"/>
                <w:color w:val="000000" w:themeColor="text1"/>
              </w:rPr>
              <w:t>Provide detailed reports for proposed energy and water reduction initiatives, including payback periods and estimated and delivered carbon savings.</w:t>
            </w:r>
          </w:p>
          <w:p w:rsidR="00901FC5" w:rsidRPr="005621B3" w:rsidRDefault="00901FC5" w:rsidP="0027206B">
            <w:pPr>
              <w:pStyle w:val="ListParagraph"/>
              <w:numPr>
                <w:ilvl w:val="0"/>
                <w:numId w:val="14"/>
              </w:numPr>
              <w:rPr>
                <w:rFonts w:cs="Arial"/>
                <w:color w:val="000000" w:themeColor="text1"/>
              </w:rPr>
            </w:pPr>
            <w:r w:rsidRPr="005621B3">
              <w:rPr>
                <w:rFonts w:cs="Arial"/>
                <w:color w:val="000000" w:themeColor="text1"/>
              </w:rPr>
              <w:t>Assess the Maximum Demand (MD) and Available Capacities (AC) across the estate and advise on appropriate levels</w:t>
            </w:r>
          </w:p>
          <w:p w:rsidR="00EA6C80" w:rsidRPr="005621B3" w:rsidRDefault="00EA6C80" w:rsidP="0027206B">
            <w:pPr>
              <w:pStyle w:val="ListParagraph"/>
              <w:numPr>
                <w:ilvl w:val="0"/>
                <w:numId w:val="14"/>
              </w:numPr>
              <w:rPr>
                <w:rFonts w:cs="Arial"/>
                <w:color w:val="000000" w:themeColor="text1"/>
              </w:rPr>
            </w:pPr>
            <w:r w:rsidRPr="005621B3">
              <w:rPr>
                <w:rFonts w:cs="Arial"/>
                <w:color w:val="000000" w:themeColor="text1"/>
              </w:rPr>
              <w:t>Support maintenance, technical and minor works staff in all aspects of installing and maintaining energy efficient technologies.</w:t>
            </w:r>
          </w:p>
          <w:p w:rsidR="00EA6C80" w:rsidRPr="00EA6C80" w:rsidRDefault="005A774A" w:rsidP="0027206B">
            <w:pPr>
              <w:pStyle w:val="ListParagraph"/>
              <w:numPr>
                <w:ilvl w:val="0"/>
                <w:numId w:val="14"/>
              </w:numPr>
              <w:rPr>
                <w:rFonts w:cs="Arial"/>
                <w:color w:val="000000" w:themeColor="text1"/>
              </w:rPr>
            </w:pPr>
            <w:r w:rsidRPr="005621B3">
              <w:rPr>
                <w:rFonts w:cs="Arial"/>
                <w:color w:val="000000" w:themeColor="text1"/>
              </w:rPr>
              <w:t>Identify and s</w:t>
            </w:r>
            <w:r w:rsidR="00EA6C80" w:rsidRPr="005621B3">
              <w:rPr>
                <w:rFonts w:cs="Arial"/>
                <w:color w:val="000000" w:themeColor="text1"/>
              </w:rPr>
              <w:t>upport</w:t>
            </w:r>
            <w:r w:rsidR="00EA6C80" w:rsidRPr="00EA6C80">
              <w:rPr>
                <w:rFonts w:cs="Arial"/>
                <w:color w:val="000000" w:themeColor="text1"/>
              </w:rPr>
              <w:t xml:space="preserve"> with the management of energy projects to ensure returns on investment and agreed savings are delivered.</w:t>
            </w:r>
          </w:p>
          <w:p w:rsidR="00EA6C80" w:rsidRPr="00EA6C80" w:rsidRDefault="00EA6C80" w:rsidP="0027206B">
            <w:pPr>
              <w:pStyle w:val="ListParagraph"/>
              <w:numPr>
                <w:ilvl w:val="0"/>
                <w:numId w:val="14"/>
              </w:numPr>
              <w:rPr>
                <w:rFonts w:cs="Arial"/>
                <w:color w:val="000000" w:themeColor="text1"/>
              </w:rPr>
            </w:pPr>
            <w:r w:rsidRPr="00EA6C80">
              <w:rPr>
                <w:rFonts w:cs="Arial"/>
                <w:color w:val="000000" w:themeColor="text1"/>
              </w:rPr>
              <w:t>Proactively contribute to the sharing of experience and expertise across our accounts.</w:t>
            </w:r>
          </w:p>
          <w:p w:rsidR="00AE11D6" w:rsidRPr="00AE11D6" w:rsidRDefault="00AE11D6" w:rsidP="00AE11D6">
            <w:pPr>
              <w:ind w:left="360"/>
              <w:rPr>
                <w:rFonts w:cs="Arial"/>
                <w:color w:val="000000" w:themeColor="text1"/>
              </w:rPr>
            </w:pPr>
          </w:p>
        </w:tc>
      </w:tr>
    </w:tbl>
    <w:p w:rsidR="00C04D49" w:rsidRPr="00114C8C" w:rsidRDefault="00C04D49"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762DD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762DD0">
        <w:trPr>
          <w:trHeight w:val="1262"/>
        </w:trPr>
        <w:tc>
          <w:tcPr>
            <w:tcW w:w="10458" w:type="dxa"/>
            <w:tcBorders>
              <w:top w:val="dotted" w:sz="2" w:space="0" w:color="auto"/>
              <w:left w:val="single" w:sz="2" w:space="0" w:color="auto"/>
              <w:bottom w:val="single" w:sz="4" w:space="0" w:color="auto"/>
              <w:right w:val="single" w:sz="4" w:space="0" w:color="auto"/>
            </w:tcBorders>
          </w:tcPr>
          <w:p w:rsidR="00E16681" w:rsidRDefault="00E16681" w:rsidP="00E16681">
            <w:pPr>
              <w:jc w:val="left"/>
              <w:rPr>
                <w:rFonts w:cs="Arial"/>
              </w:rPr>
            </w:pPr>
          </w:p>
          <w:p w:rsidR="000A21B2" w:rsidRDefault="000A21B2" w:rsidP="000A21B2">
            <w:pPr>
              <w:numPr>
                <w:ilvl w:val="0"/>
                <w:numId w:val="14"/>
              </w:numPr>
              <w:jc w:val="left"/>
              <w:rPr>
                <w:rFonts w:cs="Arial"/>
              </w:rPr>
            </w:pPr>
            <w:r>
              <w:rPr>
                <w:rFonts w:cs="Arial"/>
              </w:rPr>
              <w:t>Delivery of accurate monthly information reports to the client and on time.</w:t>
            </w:r>
          </w:p>
          <w:p w:rsidR="00622556" w:rsidRDefault="00622556" w:rsidP="000A21B2">
            <w:pPr>
              <w:numPr>
                <w:ilvl w:val="0"/>
                <w:numId w:val="14"/>
              </w:numPr>
              <w:jc w:val="left"/>
              <w:rPr>
                <w:rFonts w:cs="Arial"/>
              </w:rPr>
            </w:pPr>
            <w:r>
              <w:rPr>
                <w:rFonts w:cs="Arial"/>
              </w:rPr>
              <w:t>Delivery of an Energy Management Plan to the client on time.</w:t>
            </w:r>
          </w:p>
          <w:p w:rsidR="00397042" w:rsidRDefault="00397042" w:rsidP="000A21B2">
            <w:pPr>
              <w:numPr>
                <w:ilvl w:val="0"/>
                <w:numId w:val="14"/>
              </w:numPr>
              <w:jc w:val="left"/>
              <w:rPr>
                <w:rFonts w:cs="Arial"/>
              </w:rPr>
            </w:pPr>
            <w:r>
              <w:rPr>
                <w:rFonts w:cs="Arial"/>
              </w:rPr>
              <w:t>Completion of agreed tasks within the Energy Management Plan on time.</w:t>
            </w:r>
          </w:p>
          <w:p w:rsidR="000A21B2" w:rsidRPr="005621B3" w:rsidRDefault="000A21B2" w:rsidP="000A21B2">
            <w:pPr>
              <w:numPr>
                <w:ilvl w:val="0"/>
                <w:numId w:val="14"/>
              </w:numPr>
              <w:jc w:val="left"/>
              <w:rPr>
                <w:rFonts w:cs="Arial"/>
              </w:rPr>
            </w:pPr>
            <w:r>
              <w:rPr>
                <w:rFonts w:cs="Arial"/>
              </w:rPr>
              <w:t xml:space="preserve">Accurate storage of data and </w:t>
            </w:r>
            <w:r w:rsidRPr="005621B3">
              <w:rPr>
                <w:rFonts w:cs="Arial"/>
              </w:rPr>
              <w:t>information within systems and databases.</w:t>
            </w:r>
          </w:p>
          <w:p w:rsidR="00C00657" w:rsidRPr="005621B3" w:rsidRDefault="00BE49A8" w:rsidP="00C00657">
            <w:pPr>
              <w:numPr>
                <w:ilvl w:val="0"/>
                <w:numId w:val="14"/>
              </w:numPr>
              <w:jc w:val="left"/>
              <w:rPr>
                <w:rFonts w:cs="Arial"/>
              </w:rPr>
            </w:pPr>
            <w:r w:rsidRPr="005621B3">
              <w:rPr>
                <w:rFonts w:cs="Arial"/>
              </w:rPr>
              <w:t>Ensure e</w:t>
            </w:r>
            <w:r w:rsidR="00C00657" w:rsidRPr="005621B3">
              <w:rPr>
                <w:rFonts w:cs="Arial"/>
              </w:rPr>
              <w:t xml:space="preserve">very property </w:t>
            </w:r>
            <w:r w:rsidRPr="005621B3">
              <w:rPr>
                <w:rFonts w:cs="Arial"/>
              </w:rPr>
              <w:t>has</w:t>
            </w:r>
            <w:r w:rsidR="00C00657" w:rsidRPr="005621B3">
              <w:rPr>
                <w:rFonts w:cs="Arial"/>
              </w:rPr>
              <w:t xml:space="preserve"> </w:t>
            </w:r>
            <w:r w:rsidRPr="005621B3">
              <w:rPr>
                <w:rFonts w:cs="Arial"/>
              </w:rPr>
              <w:t>the</w:t>
            </w:r>
            <w:r w:rsidR="00901FC5" w:rsidRPr="005621B3">
              <w:rPr>
                <w:rFonts w:cs="Arial"/>
              </w:rPr>
              <w:t xml:space="preserve"> relevant Energy Performance C</w:t>
            </w:r>
            <w:r w:rsidR="00C00657" w:rsidRPr="005621B3">
              <w:rPr>
                <w:rFonts w:cs="Arial"/>
              </w:rPr>
              <w:t>ertificat</w:t>
            </w:r>
            <w:r w:rsidR="00901FC5" w:rsidRPr="005621B3">
              <w:rPr>
                <w:rFonts w:cs="Arial"/>
              </w:rPr>
              <w:t>e and or Display Energy C</w:t>
            </w:r>
            <w:r w:rsidR="00C00657" w:rsidRPr="005621B3">
              <w:rPr>
                <w:rFonts w:cs="Arial"/>
              </w:rPr>
              <w:t>ertificate.</w:t>
            </w:r>
          </w:p>
          <w:p w:rsidR="00BE49A8" w:rsidRPr="00E16681" w:rsidRDefault="00BE49A8" w:rsidP="00C00657">
            <w:pPr>
              <w:numPr>
                <w:ilvl w:val="0"/>
                <w:numId w:val="14"/>
              </w:numPr>
              <w:jc w:val="left"/>
              <w:rPr>
                <w:rFonts w:cs="Arial"/>
              </w:rPr>
            </w:pPr>
            <w:r>
              <w:rPr>
                <w:rFonts w:cs="Arial"/>
              </w:rPr>
              <w:t>Report on obligatory compliance i.e. Minimum Energy Efficiency standards (MEES), ESOS, CRC etc</w:t>
            </w:r>
          </w:p>
          <w:p w:rsidR="00622556" w:rsidRDefault="000A21B2" w:rsidP="00622556">
            <w:pPr>
              <w:pStyle w:val="ListParagraph"/>
              <w:numPr>
                <w:ilvl w:val="0"/>
                <w:numId w:val="14"/>
              </w:numPr>
              <w:jc w:val="left"/>
              <w:rPr>
                <w:rFonts w:cs="Arial"/>
              </w:rPr>
            </w:pPr>
            <w:r>
              <w:rPr>
                <w:rFonts w:cs="Arial"/>
              </w:rPr>
              <w:t>Support with reducing</w:t>
            </w:r>
            <w:r w:rsidR="004E515D" w:rsidRPr="004E515D">
              <w:rPr>
                <w:rFonts w:cs="Arial"/>
              </w:rPr>
              <w:t xml:space="preserve"> the cost and environmental impact of operating the portfolio.</w:t>
            </w:r>
          </w:p>
          <w:p w:rsidR="00622556" w:rsidRPr="00622556" w:rsidRDefault="00622556" w:rsidP="00622556">
            <w:pPr>
              <w:pStyle w:val="ListParagraph"/>
              <w:numPr>
                <w:ilvl w:val="0"/>
                <w:numId w:val="14"/>
              </w:numPr>
              <w:jc w:val="left"/>
              <w:rPr>
                <w:rFonts w:cs="Arial"/>
              </w:rPr>
            </w:pPr>
            <w:r>
              <w:rPr>
                <w:rFonts w:cs="Arial"/>
              </w:rPr>
              <w:t>Innovation and energy saving opportunities</w:t>
            </w:r>
            <w:r w:rsidRPr="00622556">
              <w:rPr>
                <w:rFonts w:cs="Arial"/>
              </w:rPr>
              <w:t>.</w:t>
            </w:r>
          </w:p>
          <w:p w:rsidR="00622556" w:rsidRPr="00622556" w:rsidRDefault="00622556" w:rsidP="00622556">
            <w:pPr>
              <w:pStyle w:val="ListParagraph"/>
              <w:numPr>
                <w:ilvl w:val="0"/>
                <w:numId w:val="14"/>
              </w:numPr>
              <w:jc w:val="left"/>
              <w:rPr>
                <w:rFonts w:cs="Arial"/>
              </w:rPr>
            </w:pPr>
            <w:r w:rsidRPr="00622556">
              <w:rPr>
                <w:rFonts w:cs="Arial"/>
              </w:rPr>
              <w:t>High client satisfaction.</w:t>
            </w:r>
          </w:p>
          <w:p w:rsidR="00622556" w:rsidRDefault="00622556" w:rsidP="00622556">
            <w:pPr>
              <w:pStyle w:val="ListParagraph"/>
              <w:numPr>
                <w:ilvl w:val="0"/>
                <w:numId w:val="14"/>
              </w:numPr>
              <w:jc w:val="left"/>
              <w:rPr>
                <w:rFonts w:cs="Arial"/>
              </w:rPr>
            </w:pPr>
            <w:r>
              <w:rPr>
                <w:rFonts w:cs="Arial"/>
              </w:rPr>
              <w:t>Energy bureau supplier contract.</w:t>
            </w:r>
          </w:p>
          <w:p w:rsidR="00416C1D" w:rsidRPr="00416C1D" w:rsidRDefault="00416C1D" w:rsidP="00416C1D">
            <w:pPr>
              <w:jc w:val="left"/>
              <w:rPr>
                <w:rFonts w:cs="Arial"/>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926BAA" w:rsidRDefault="00926BAA" w:rsidP="008D28BB">
            <w:pPr>
              <w:pStyle w:val="Puces4"/>
              <w:numPr>
                <w:ilvl w:val="0"/>
                <w:numId w:val="0"/>
              </w:numPr>
            </w:pPr>
          </w:p>
          <w:p w:rsidR="0030267F" w:rsidRDefault="0030267F" w:rsidP="0030267F">
            <w:pPr>
              <w:pStyle w:val="Puces4"/>
              <w:numPr>
                <w:ilvl w:val="0"/>
                <w:numId w:val="0"/>
              </w:numPr>
            </w:pPr>
            <w:r>
              <w:t>Essential</w:t>
            </w:r>
            <w:r w:rsidR="006C1CA5">
              <w:t>:</w:t>
            </w:r>
          </w:p>
          <w:p w:rsidR="00EA7F15" w:rsidRPr="00EA7F15" w:rsidRDefault="00EA7F15" w:rsidP="00EA7F15">
            <w:pPr>
              <w:pStyle w:val="Puces4"/>
              <w:numPr>
                <w:ilvl w:val="0"/>
                <w:numId w:val="14"/>
              </w:numPr>
              <w:rPr>
                <w:szCs w:val="20"/>
              </w:rPr>
            </w:pPr>
            <w:r w:rsidRPr="00EA7F15">
              <w:rPr>
                <w:szCs w:val="20"/>
              </w:rPr>
              <w:t>Degree</w:t>
            </w:r>
            <w:r>
              <w:rPr>
                <w:szCs w:val="20"/>
              </w:rPr>
              <w:t xml:space="preserve"> and/or post graduate</w:t>
            </w:r>
            <w:r w:rsidR="00851118">
              <w:rPr>
                <w:szCs w:val="20"/>
              </w:rPr>
              <w:t xml:space="preserve"> degree </w:t>
            </w:r>
            <w:r w:rsidRPr="00EA7F15">
              <w:rPr>
                <w:szCs w:val="20"/>
              </w:rPr>
              <w:t>in a relevant subject or equivalent qualification by experience, for example engineering (e.g. building services, mechanical engineering</w:t>
            </w:r>
            <w:r w:rsidR="00F817C2">
              <w:rPr>
                <w:szCs w:val="20"/>
              </w:rPr>
              <w:t>, energy engineering</w:t>
            </w:r>
            <w:r w:rsidRPr="00EA7F15">
              <w:rPr>
                <w:szCs w:val="20"/>
              </w:rPr>
              <w:t>).</w:t>
            </w:r>
          </w:p>
          <w:p w:rsidR="00EA7F15" w:rsidRPr="00EA7F15" w:rsidRDefault="00EA7F15" w:rsidP="00EA7F15">
            <w:pPr>
              <w:pStyle w:val="Puces4"/>
              <w:numPr>
                <w:ilvl w:val="0"/>
                <w:numId w:val="14"/>
              </w:numPr>
              <w:rPr>
                <w:szCs w:val="20"/>
              </w:rPr>
            </w:pPr>
            <w:r w:rsidRPr="00EA7F15">
              <w:rPr>
                <w:szCs w:val="20"/>
              </w:rPr>
              <w:t>Professional membership of relevant institution (e.g. CIBSE, Energy Institute etc</w:t>
            </w:r>
            <w:r>
              <w:rPr>
                <w:szCs w:val="20"/>
              </w:rPr>
              <w:t>.</w:t>
            </w:r>
            <w:r w:rsidRPr="00EA7F15">
              <w:rPr>
                <w:szCs w:val="20"/>
              </w:rPr>
              <w:t>).</w:t>
            </w:r>
          </w:p>
          <w:p w:rsidR="00416C1D" w:rsidRPr="00416C1D" w:rsidRDefault="00EA7F15" w:rsidP="00416C1D">
            <w:pPr>
              <w:pStyle w:val="Puces4"/>
              <w:numPr>
                <w:ilvl w:val="0"/>
                <w:numId w:val="14"/>
              </w:numPr>
              <w:rPr>
                <w:szCs w:val="20"/>
              </w:rPr>
            </w:pPr>
            <w:r w:rsidRPr="00EA7F15">
              <w:rPr>
                <w:szCs w:val="20"/>
              </w:rPr>
              <w:t xml:space="preserve">Minimum of 5 </w:t>
            </w:r>
            <w:r w:rsidR="00805B3B" w:rsidRPr="00EA7F15">
              <w:rPr>
                <w:szCs w:val="20"/>
              </w:rPr>
              <w:t>years’ experience</w:t>
            </w:r>
            <w:r w:rsidRPr="00EA7F15">
              <w:rPr>
                <w:szCs w:val="20"/>
              </w:rPr>
              <w:t xml:space="preserve"> in the building energy management industry.</w:t>
            </w:r>
          </w:p>
          <w:p w:rsidR="00EA7F15" w:rsidRDefault="00EA7F15" w:rsidP="00EA7F15">
            <w:pPr>
              <w:pStyle w:val="Puces4"/>
              <w:numPr>
                <w:ilvl w:val="0"/>
                <w:numId w:val="14"/>
              </w:numPr>
              <w:rPr>
                <w:szCs w:val="20"/>
              </w:rPr>
            </w:pPr>
            <w:r w:rsidRPr="00EA7F15">
              <w:rPr>
                <w:szCs w:val="20"/>
              </w:rPr>
              <w:t>Understanding of legislative requirements, including CRC, ESOS, DECs</w:t>
            </w:r>
            <w:r>
              <w:rPr>
                <w:szCs w:val="20"/>
              </w:rPr>
              <w:t>, MEES</w:t>
            </w:r>
            <w:r w:rsidRPr="00EA7F15">
              <w:rPr>
                <w:szCs w:val="20"/>
              </w:rPr>
              <w:t>.</w:t>
            </w:r>
          </w:p>
          <w:p w:rsidR="00EA7F15" w:rsidRPr="00EA7F15" w:rsidRDefault="00EA7F15" w:rsidP="00EA7F15">
            <w:pPr>
              <w:pStyle w:val="Puces4"/>
              <w:numPr>
                <w:ilvl w:val="0"/>
                <w:numId w:val="14"/>
              </w:numPr>
              <w:rPr>
                <w:szCs w:val="20"/>
              </w:rPr>
            </w:pPr>
            <w:r>
              <w:rPr>
                <w:szCs w:val="20"/>
              </w:rPr>
              <w:t>Experience of Energy Management Systems (ISO 50001).</w:t>
            </w:r>
          </w:p>
          <w:p w:rsidR="00EA7F15" w:rsidRPr="00EA7F15" w:rsidRDefault="00EA7F15" w:rsidP="00EA7F15">
            <w:pPr>
              <w:pStyle w:val="Puces4"/>
              <w:numPr>
                <w:ilvl w:val="0"/>
                <w:numId w:val="14"/>
              </w:numPr>
              <w:rPr>
                <w:szCs w:val="20"/>
              </w:rPr>
            </w:pPr>
            <w:r w:rsidRPr="00EA7F15">
              <w:rPr>
                <w:szCs w:val="20"/>
              </w:rPr>
              <w:lastRenderedPageBreak/>
              <w:t>Strong customer relationship skills.</w:t>
            </w:r>
          </w:p>
          <w:p w:rsidR="00EA7F15" w:rsidRPr="00EA7F15" w:rsidRDefault="00EA7F15" w:rsidP="00EA7F15">
            <w:pPr>
              <w:pStyle w:val="Puces4"/>
              <w:numPr>
                <w:ilvl w:val="0"/>
                <w:numId w:val="14"/>
              </w:numPr>
              <w:rPr>
                <w:szCs w:val="20"/>
              </w:rPr>
            </w:pPr>
            <w:r w:rsidRPr="00EA7F15">
              <w:rPr>
                <w:szCs w:val="20"/>
              </w:rPr>
              <w:t>Financial and business awareness.</w:t>
            </w:r>
          </w:p>
          <w:p w:rsidR="00EA7F15" w:rsidRPr="00EA7F15" w:rsidRDefault="00EA7F15" w:rsidP="00EA7F15">
            <w:pPr>
              <w:pStyle w:val="Puces4"/>
              <w:numPr>
                <w:ilvl w:val="0"/>
                <w:numId w:val="14"/>
              </w:numPr>
              <w:rPr>
                <w:szCs w:val="20"/>
              </w:rPr>
            </w:pPr>
            <w:r w:rsidRPr="00EA7F15">
              <w:rPr>
                <w:szCs w:val="20"/>
              </w:rPr>
              <w:t>Ability to undertake on-site and desk-top assessments to identify utility savings.</w:t>
            </w:r>
          </w:p>
          <w:p w:rsidR="00EA7F15" w:rsidRPr="00EA7F15" w:rsidRDefault="00EA7F15" w:rsidP="00EA7F15">
            <w:pPr>
              <w:pStyle w:val="Puces4"/>
              <w:numPr>
                <w:ilvl w:val="0"/>
                <w:numId w:val="14"/>
              </w:numPr>
              <w:rPr>
                <w:szCs w:val="20"/>
              </w:rPr>
            </w:pPr>
            <w:r w:rsidRPr="00EA7F15">
              <w:rPr>
                <w:szCs w:val="20"/>
              </w:rPr>
              <w:t>Ability to write recommendation reports to suit varying audiences (technical and non-technical).</w:t>
            </w:r>
          </w:p>
          <w:p w:rsidR="00EA7F15" w:rsidRPr="00EA7F15" w:rsidRDefault="00EA7F15" w:rsidP="00EA7F15">
            <w:pPr>
              <w:pStyle w:val="Puces4"/>
              <w:numPr>
                <w:ilvl w:val="0"/>
                <w:numId w:val="14"/>
              </w:numPr>
              <w:rPr>
                <w:szCs w:val="20"/>
              </w:rPr>
            </w:pPr>
            <w:r w:rsidRPr="00EA7F15">
              <w:rPr>
                <w:szCs w:val="20"/>
              </w:rPr>
              <w:t>Awareness of carbon accounting and energy auditing methodologies e.g. ISO 50002, CIBSE TM22,</w:t>
            </w:r>
            <w:r w:rsidR="00805B3B">
              <w:rPr>
                <w:szCs w:val="20"/>
              </w:rPr>
              <w:t xml:space="preserve"> PAS2050</w:t>
            </w:r>
            <w:r w:rsidRPr="00EA7F15">
              <w:rPr>
                <w:szCs w:val="20"/>
              </w:rPr>
              <w:t>).</w:t>
            </w:r>
          </w:p>
          <w:p w:rsidR="00EA7F15" w:rsidRPr="00EA7F15" w:rsidRDefault="00EA7F15" w:rsidP="00EA7F15">
            <w:pPr>
              <w:pStyle w:val="Puces4"/>
              <w:numPr>
                <w:ilvl w:val="0"/>
                <w:numId w:val="14"/>
              </w:numPr>
              <w:rPr>
                <w:szCs w:val="20"/>
              </w:rPr>
            </w:pPr>
            <w:r w:rsidRPr="00EA7F15">
              <w:rPr>
                <w:szCs w:val="20"/>
              </w:rPr>
              <w:t>Ability to work as part of a team and also independently.</w:t>
            </w:r>
          </w:p>
          <w:p w:rsidR="00EA7F15" w:rsidRPr="00EA7F15" w:rsidRDefault="00EA7F15" w:rsidP="00EA7F15">
            <w:pPr>
              <w:pStyle w:val="Puces4"/>
              <w:numPr>
                <w:ilvl w:val="0"/>
                <w:numId w:val="14"/>
              </w:numPr>
              <w:rPr>
                <w:szCs w:val="20"/>
              </w:rPr>
            </w:pPr>
            <w:r w:rsidRPr="00EA7F15">
              <w:rPr>
                <w:szCs w:val="20"/>
              </w:rPr>
              <w:t>Takes accountability and responsibility for delivering required results.</w:t>
            </w:r>
          </w:p>
          <w:p w:rsidR="00EA7F15" w:rsidRPr="00EA7F15" w:rsidRDefault="00EA7F15" w:rsidP="00EA7F15">
            <w:pPr>
              <w:pStyle w:val="Puces4"/>
              <w:numPr>
                <w:ilvl w:val="0"/>
                <w:numId w:val="14"/>
              </w:numPr>
              <w:rPr>
                <w:szCs w:val="20"/>
              </w:rPr>
            </w:pPr>
            <w:r w:rsidRPr="00EA7F15">
              <w:rPr>
                <w:szCs w:val="20"/>
              </w:rPr>
              <w:t>Competent with MS Office (Word, Excel, PowerPoint, Outlook).</w:t>
            </w:r>
          </w:p>
          <w:p w:rsidR="005D08C7" w:rsidRPr="009C18F4" w:rsidRDefault="005D08C7" w:rsidP="00354BCF">
            <w:pPr>
              <w:ind w:left="720"/>
              <w:jc w:val="left"/>
              <w:rPr>
                <w:rFonts w:cs="Arial"/>
              </w:rPr>
            </w:pPr>
          </w:p>
          <w:p w:rsidR="005D08C7" w:rsidRDefault="008D28BB" w:rsidP="00833D62">
            <w:r w:rsidRPr="00E752D9">
              <w:t>Desirable</w:t>
            </w:r>
            <w:r w:rsidR="006C1CA5">
              <w:t>:</w:t>
            </w:r>
          </w:p>
          <w:p w:rsidR="00805B3B" w:rsidRPr="00805B3B" w:rsidRDefault="00805B3B" w:rsidP="00805B3B">
            <w:pPr>
              <w:numPr>
                <w:ilvl w:val="0"/>
                <w:numId w:val="14"/>
              </w:numPr>
              <w:jc w:val="left"/>
              <w:rPr>
                <w:rFonts w:cs="Arial"/>
              </w:rPr>
            </w:pPr>
            <w:r w:rsidRPr="00805B3B">
              <w:rPr>
                <w:rFonts w:cs="Arial"/>
              </w:rPr>
              <w:t>Previous engineering experience in an operational maintenance role in a large estate setting with a proven track record of optimising energy and water efficiency.</w:t>
            </w:r>
          </w:p>
          <w:p w:rsidR="00805B3B" w:rsidRPr="00805B3B" w:rsidRDefault="00805B3B" w:rsidP="00805B3B">
            <w:pPr>
              <w:numPr>
                <w:ilvl w:val="0"/>
                <w:numId w:val="14"/>
              </w:numPr>
              <w:jc w:val="left"/>
              <w:rPr>
                <w:rFonts w:cs="Arial"/>
              </w:rPr>
            </w:pPr>
            <w:r w:rsidRPr="00805B3B">
              <w:rPr>
                <w:rFonts w:cs="Arial"/>
              </w:rPr>
              <w:t>Experience/knowledge of Building (Energy) Management Systems (BMS or BEMS).</w:t>
            </w:r>
          </w:p>
          <w:p w:rsidR="00805B3B" w:rsidRPr="00805B3B" w:rsidRDefault="00805B3B" w:rsidP="00805B3B">
            <w:pPr>
              <w:numPr>
                <w:ilvl w:val="0"/>
                <w:numId w:val="14"/>
              </w:numPr>
              <w:jc w:val="left"/>
              <w:rPr>
                <w:rFonts w:cs="Arial"/>
              </w:rPr>
            </w:pPr>
            <w:r w:rsidRPr="00805B3B">
              <w:rPr>
                <w:rFonts w:cs="Arial"/>
              </w:rPr>
              <w:t>CIBSE Low Carbon Consultant or Assessor.</w:t>
            </w:r>
          </w:p>
          <w:p w:rsidR="00805B3B" w:rsidRPr="00805B3B" w:rsidRDefault="00805B3B" w:rsidP="00805B3B">
            <w:pPr>
              <w:numPr>
                <w:ilvl w:val="0"/>
                <w:numId w:val="14"/>
              </w:numPr>
              <w:jc w:val="left"/>
              <w:rPr>
                <w:rFonts w:cs="Arial"/>
              </w:rPr>
            </w:pPr>
            <w:r w:rsidRPr="00805B3B">
              <w:rPr>
                <w:rFonts w:cs="Arial"/>
              </w:rPr>
              <w:t>DEC assessor, ESOS and/or BREEAM assessor.</w:t>
            </w:r>
          </w:p>
          <w:p w:rsidR="00805B3B" w:rsidRPr="00805B3B" w:rsidRDefault="00805B3B" w:rsidP="00805B3B">
            <w:pPr>
              <w:numPr>
                <w:ilvl w:val="0"/>
                <w:numId w:val="14"/>
              </w:numPr>
              <w:jc w:val="left"/>
              <w:rPr>
                <w:rFonts w:cs="Arial"/>
              </w:rPr>
            </w:pPr>
            <w:r w:rsidRPr="00805B3B">
              <w:rPr>
                <w:rFonts w:cs="Arial"/>
              </w:rPr>
              <w:t>Experience of o</w:t>
            </w:r>
            <w:bookmarkStart w:id="0" w:name="_GoBack"/>
            <w:bookmarkEnd w:id="0"/>
            <w:r w:rsidRPr="00805B3B">
              <w:rPr>
                <w:rFonts w:cs="Arial"/>
              </w:rPr>
              <w:t>n-site generation optimisation (CHP, Stand-by, alternative onsite).</w:t>
            </w:r>
          </w:p>
          <w:p w:rsidR="00805B3B" w:rsidRPr="00805B3B" w:rsidRDefault="00805B3B" w:rsidP="00805B3B">
            <w:pPr>
              <w:numPr>
                <w:ilvl w:val="0"/>
                <w:numId w:val="14"/>
              </w:numPr>
              <w:jc w:val="left"/>
              <w:rPr>
                <w:rFonts w:cs="Arial"/>
              </w:rPr>
            </w:pPr>
            <w:r w:rsidRPr="00805B3B">
              <w:rPr>
                <w:rFonts w:cs="Arial"/>
              </w:rPr>
              <w:t>Familiarity with finance incentives (e.g. Feed in Tariff) and other generation initiatives.</w:t>
            </w:r>
          </w:p>
          <w:p w:rsidR="00805B3B" w:rsidRPr="00805B3B" w:rsidRDefault="00805B3B" w:rsidP="00805B3B">
            <w:pPr>
              <w:numPr>
                <w:ilvl w:val="0"/>
                <w:numId w:val="14"/>
              </w:numPr>
              <w:jc w:val="left"/>
              <w:rPr>
                <w:rFonts w:cs="Arial"/>
              </w:rPr>
            </w:pPr>
            <w:r w:rsidRPr="00805B3B">
              <w:rPr>
                <w:rFonts w:cs="Arial"/>
              </w:rPr>
              <w:t>Financial business case development (MACC, OPEX, CAPEX, NPV).</w:t>
            </w:r>
          </w:p>
          <w:p w:rsidR="00CA1BD8" w:rsidRPr="00CA1BD8" w:rsidRDefault="00CA1BD8" w:rsidP="00354BCF">
            <w:pPr>
              <w:numPr>
                <w:ilvl w:val="0"/>
                <w:numId w:val="14"/>
              </w:numPr>
              <w:jc w:val="left"/>
              <w:rPr>
                <w:rFonts w:cs="Arial"/>
              </w:rPr>
            </w:pPr>
            <w:r>
              <w:rPr>
                <w:rFonts w:cs="Arial"/>
              </w:rPr>
              <w:t>Experience of energy procurement, the energy market, utilities management</w:t>
            </w:r>
          </w:p>
          <w:p w:rsidR="0030267F" w:rsidRPr="00863776" w:rsidRDefault="0030267F" w:rsidP="00354BCF">
            <w:pPr>
              <w:numPr>
                <w:ilvl w:val="0"/>
                <w:numId w:val="14"/>
              </w:numPr>
              <w:jc w:val="left"/>
              <w:rPr>
                <w:rFonts w:cs="Arial"/>
              </w:rPr>
            </w:pPr>
            <w:r>
              <w:rPr>
                <w:rFonts w:cs="Arial"/>
                <w:color w:val="000000" w:themeColor="text1"/>
              </w:rPr>
              <w:t>E</w:t>
            </w:r>
            <w:r w:rsidRPr="001C3567">
              <w:rPr>
                <w:rFonts w:cs="Arial"/>
                <w:color w:val="000000" w:themeColor="text1"/>
              </w:rPr>
              <w:t>xpe</w:t>
            </w:r>
            <w:r w:rsidR="00CA1BD8">
              <w:rPr>
                <w:rFonts w:cs="Arial"/>
                <w:color w:val="000000" w:themeColor="text1"/>
              </w:rPr>
              <w:t xml:space="preserve">rience of working with or for a Facilities </w:t>
            </w:r>
            <w:r w:rsidRPr="001C3567">
              <w:rPr>
                <w:rFonts w:cs="Arial"/>
                <w:color w:val="000000" w:themeColor="text1"/>
              </w:rPr>
              <w:t xml:space="preserve">Management </w:t>
            </w:r>
            <w:r w:rsidR="00CA1BD8">
              <w:rPr>
                <w:rFonts w:cs="Arial"/>
                <w:color w:val="000000" w:themeColor="text1"/>
              </w:rPr>
              <w:t>organisation</w:t>
            </w:r>
          </w:p>
          <w:p w:rsidR="0030267F" w:rsidRPr="00354BCF" w:rsidRDefault="0030267F" w:rsidP="0030267F">
            <w:pPr>
              <w:pStyle w:val="Puces4"/>
              <w:numPr>
                <w:ilvl w:val="0"/>
                <w:numId w:val="14"/>
              </w:numPr>
              <w:rPr>
                <w:sz w:val="22"/>
              </w:rPr>
            </w:pPr>
            <w:r>
              <w:t>Good influencing skills</w:t>
            </w:r>
          </w:p>
          <w:p w:rsidR="0030267F" w:rsidRPr="00A619ED" w:rsidRDefault="0030267F" w:rsidP="0030267F">
            <w:pPr>
              <w:pStyle w:val="Puces4"/>
              <w:numPr>
                <w:ilvl w:val="0"/>
                <w:numId w:val="14"/>
              </w:numPr>
              <w:rPr>
                <w:sz w:val="22"/>
              </w:rPr>
            </w:pPr>
            <w:r>
              <w:t>Good communication</w:t>
            </w:r>
            <w:r w:rsidRPr="008A0534">
              <w:t xml:space="preserve"> </w:t>
            </w:r>
            <w:r>
              <w:t>skills</w:t>
            </w:r>
          </w:p>
          <w:p w:rsidR="00A619ED" w:rsidRDefault="00A619ED" w:rsidP="00A619ED">
            <w:pPr>
              <w:pStyle w:val="Puces4"/>
              <w:numPr>
                <w:ilvl w:val="0"/>
                <w:numId w:val="14"/>
              </w:numPr>
              <w:rPr>
                <w:szCs w:val="20"/>
              </w:rPr>
            </w:pPr>
            <w:r w:rsidRPr="008B337C">
              <w:rPr>
                <w:szCs w:val="20"/>
              </w:rPr>
              <w:t xml:space="preserve">Experience of </w:t>
            </w:r>
            <w:r>
              <w:rPr>
                <w:szCs w:val="20"/>
              </w:rPr>
              <w:t>CAFM / CMMS systems</w:t>
            </w:r>
          </w:p>
          <w:p w:rsidR="00CA1BD8" w:rsidRPr="00A619ED" w:rsidRDefault="00CA1BD8" w:rsidP="00A619ED">
            <w:pPr>
              <w:pStyle w:val="Puces4"/>
              <w:numPr>
                <w:ilvl w:val="0"/>
                <w:numId w:val="14"/>
              </w:numPr>
              <w:rPr>
                <w:szCs w:val="20"/>
              </w:rPr>
            </w:pPr>
            <w:r>
              <w:rPr>
                <w:szCs w:val="20"/>
              </w:rPr>
              <w:t>Experience of the Government Services sector</w:t>
            </w:r>
          </w:p>
          <w:p w:rsidR="00CD420C" w:rsidRPr="004238D8" w:rsidRDefault="00CD420C" w:rsidP="008D28BB">
            <w:pPr>
              <w:pStyle w:val="Puces4"/>
              <w:numPr>
                <w:ilvl w:val="0"/>
                <w:numId w:val="0"/>
              </w:numPr>
            </w:pPr>
          </w:p>
        </w:tc>
      </w:tr>
    </w:tbl>
    <w:p w:rsidR="008B337C" w:rsidRDefault="008B337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12756E" w:rsidRPr="0012756E" w:rsidRDefault="0012756E" w:rsidP="008B337C">
            <w:pPr>
              <w:pStyle w:val="Puces4"/>
              <w:numPr>
                <w:ilvl w:val="0"/>
                <w:numId w:val="0"/>
              </w:numPr>
            </w:pPr>
          </w:p>
          <w:p w:rsidR="0012756E" w:rsidRPr="0012756E" w:rsidRDefault="0012756E" w:rsidP="0012756E">
            <w:pPr>
              <w:pStyle w:val="Puces4"/>
              <w:numPr>
                <w:ilvl w:val="0"/>
                <w:numId w:val="3"/>
              </w:numPr>
            </w:pPr>
            <w:r>
              <w:rPr>
                <w:rFonts w:eastAsia="Times New Roman"/>
              </w:rPr>
              <w:t>Employee Engagement</w:t>
            </w:r>
          </w:p>
          <w:p w:rsidR="0012756E" w:rsidRPr="0012756E" w:rsidRDefault="0012756E" w:rsidP="0012756E">
            <w:pPr>
              <w:pStyle w:val="Puces4"/>
              <w:numPr>
                <w:ilvl w:val="0"/>
                <w:numId w:val="3"/>
              </w:numPr>
            </w:pPr>
            <w:r>
              <w:rPr>
                <w:rFonts w:eastAsia="Times New Roman"/>
              </w:rPr>
              <w:t>Brand Notoriety</w:t>
            </w:r>
          </w:p>
          <w:p w:rsidR="0012756E" w:rsidRPr="0012756E" w:rsidRDefault="0012756E" w:rsidP="0012756E">
            <w:pPr>
              <w:pStyle w:val="Puces4"/>
              <w:numPr>
                <w:ilvl w:val="0"/>
                <w:numId w:val="3"/>
              </w:numPr>
            </w:pPr>
            <w:r>
              <w:rPr>
                <w:rFonts w:eastAsia="Times New Roman"/>
              </w:rPr>
              <w:t>Rigorous management of results</w:t>
            </w:r>
          </w:p>
          <w:p w:rsidR="0012756E" w:rsidRDefault="0012756E" w:rsidP="0012756E">
            <w:pPr>
              <w:pStyle w:val="Puces4"/>
              <w:numPr>
                <w:ilvl w:val="0"/>
                <w:numId w:val="3"/>
              </w:numPr>
              <w:rPr>
                <w:rFonts w:eastAsia="Times New Roman"/>
              </w:rPr>
            </w:pPr>
            <w:r w:rsidRPr="0012756E">
              <w:rPr>
                <w:rFonts w:eastAsia="Times New Roman"/>
              </w:rPr>
              <w:t>Growth, Client &amp; Customer Satisfaction / Quality of Services provided</w:t>
            </w:r>
          </w:p>
          <w:p w:rsidR="0012756E" w:rsidRPr="0012756E" w:rsidRDefault="0012756E" w:rsidP="0012756E">
            <w:pPr>
              <w:pStyle w:val="Puces4"/>
              <w:numPr>
                <w:ilvl w:val="0"/>
                <w:numId w:val="3"/>
              </w:numPr>
            </w:pPr>
            <w:r w:rsidRPr="0012756E">
              <w:rPr>
                <w:rFonts w:eastAsia="Times New Roman"/>
              </w:rPr>
              <w:t>Change and Innovation</w:t>
            </w:r>
          </w:p>
          <w:p w:rsidR="00EA3990" w:rsidRPr="00EA3990" w:rsidRDefault="00EA3990" w:rsidP="00EA3990">
            <w:pPr>
              <w:spacing w:before="40"/>
              <w:ind w:left="720"/>
              <w:jc w:val="left"/>
              <w:rPr>
                <w:rFonts w:cs="Arial"/>
                <w:color w:val="000000" w:themeColor="text1"/>
                <w:szCs w:val="20"/>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5621B3" w:rsidTr="00E57078">
              <w:tc>
                <w:tcPr>
                  <w:tcW w:w="2122" w:type="dxa"/>
                </w:tcPr>
                <w:p w:rsidR="00E57078" w:rsidRPr="005621B3" w:rsidRDefault="00E57078" w:rsidP="001D6EF8">
                  <w:pPr>
                    <w:framePr w:hSpace="180" w:wrap="around" w:vAnchor="text" w:hAnchor="margin" w:xAlign="center" w:y="192"/>
                    <w:spacing w:before="40"/>
                    <w:jc w:val="left"/>
                    <w:rPr>
                      <w:rFonts w:cs="Arial"/>
                      <w:color w:val="000000" w:themeColor="text1"/>
                      <w:szCs w:val="20"/>
                    </w:rPr>
                  </w:pPr>
                  <w:r w:rsidRPr="005621B3">
                    <w:rPr>
                      <w:rFonts w:cs="Arial"/>
                      <w:color w:val="000000" w:themeColor="text1"/>
                      <w:szCs w:val="20"/>
                    </w:rPr>
                    <w:t>Version</w:t>
                  </w:r>
                </w:p>
              </w:tc>
              <w:tc>
                <w:tcPr>
                  <w:tcW w:w="2991" w:type="dxa"/>
                </w:tcPr>
                <w:p w:rsidR="00E57078" w:rsidRPr="005621B3" w:rsidRDefault="005A774A" w:rsidP="001D6EF8">
                  <w:pPr>
                    <w:framePr w:hSpace="180" w:wrap="around" w:vAnchor="text" w:hAnchor="margin" w:xAlign="center" w:y="192"/>
                    <w:spacing w:before="40"/>
                    <w:jc w:val="left"/>
                    <w:rPr>
                      <w:rFonts w:cs="Arial"/>
                      <w:color w:val="000000" w:themeColor="text1"/>
                      <w:szCs w:val="20"/>
                    </w:rPr>
                  </w:pPr>
                  <w:r w:rsidRPr="005621B3">
                    <w:rPr>
                      <w:rFonts w:cs="Arial"/>
                      <w:color w:val="000000" w:themeColor="text1"/>
                      <w:szCs w:val="20"/>
                    </w:rPr>
                    <w:t>2</w:t>
                  </w:r>
                  <w:r w:rsidR="0012756E" w:rsidRPr="005621B3">
                    <w:rPr>
                      <w:rFonts w:cs="Arial"/>
                      <w:color w:val="000000" w:themeColor="text1"/>
                      <w:szCs w:val="20"/>
                    </w:rPr>
                    <w:t>.0</w:t>
                  </w:r>
                </w:p>
              </w:tc>
              <w:tc>
                <w:tcPr>
                  <w:tcW w:w="2557" w:type="dxa"/>
                </w:tcPr>
                <w:p w:rsidR="00E57078" w:rsidRPr="005621B3" w:rsidRDefault="00E57078" w:rsidP="001D6EF8">
                  <w:pPr>
                    <w:framePr w:hSpace="180" w:wrap="around" w:vAnchor="text" w:hAnchor="margin" w:xAlign="center" w:y="192"/>
                    <w:spacing w:before="40"/>
                    <w:jc w:val="left"/>
                    <w:rPr>
                      <w:rFonts w:cs="Arial"/>
                      <w:color w:val="000000" w:themeColor="text1"/>
                      <w:szCs w:val="20"/>
                    </w:rPr>
                  </w:pPr>
                  <w:r w:rsidRPr="005621B3">
                    <w:rPr>
                      <w:rFonts w:cs="Arial"/>
                      <w:color w:val="000000" w:themeColor="text1"/>
                      <w:szCs w:val="20"/>
                    </w:rPr>
                    <w:t>Date</w:t>
                  </w:r>
                </w:p>
              </w:tc>
              <w:tc>
                <w:tcPr>
                  <w:tcW w:w="2557" w:type="dxa"/>
                </w:tcPr>
                <w:p w:rsidR="00E57078" w:rsidRPr="005621B3" w:rsidRDefault="005A774A" w:rsidP="001D6EF8">
                  <w:pPr>
                    <w:framePr w:hSpace="180" w:wrap="around" w:vAnchor="text" w:hAnchor="margin" w:xAlign="center" w:y="192"/>
                    <w:spacing w:before="40"/>
                    <w:jc w:val="left"/>
                    <w:rPr>
                      <w:rFonts w:cs="Arial"/>
                      <w:color w:val="000000" w:themeColor="text1"/>
                      <w:szCs w:val="20"/>
                    </w:rPr>
                  </w:pPr>
                  <w:r w:rsidRPr="005621B3">
                    <w:rPr>
                      <w:rFonts w:cs="Arial"/>
                      <w:color w:val="000000" w:themeColor="text1"/>
                      <w:szCs w:val="20"/>
                    </w:rPr>
                    <w:t>24 August 2018</w:t>
                  </w:r>
                </w:p>
              </w:tc>
            </w:tr>
            <w:tr w:rsidR="00E57078" w:rsidTr="00E57078">
              <w:tc>
                <w:tcPr>
                  <w:tcW w:w="2122" w:type="dxa"/>
                </w:tcPr>
                <w:p w:rsidR="00E57078" w:rsidRPr="005621B3" w:rsidRDefault="00E57078" w:rsidP="001D6EF8">
                  <w:pPr>
                    <w:framePr w:hSpace="180" w:wrap="around" w:vAnchor="text" w:hAnchor="margin" w:xAlign="center" w:y="192"/>
                    <w:spacing w:before="40"/>
                    <w:jc w:val="left"/>
                    <w:rPr>
                      <w:rFonts w:cs="Arial"/>
                      <w:color w:val="000000" w:themeColor="text1"/>
                      <w:szCs w:val="20"/>
                    </w:rPr>
                  </w:pPr>
                  <w:r w:rsidRPr="005621B3">
                    <w:rPr>
                      <w:rFonts w:cs="Arial"/>
                      <w:color w:val="000000" w:themeColor="text1"/>
                      <w:szCs w:val="20"/>
                    </w:rPr>
                    <w:t>Document Owner</w:t>
                  </w:r>
                </w:p>
              </w:tc>
              <w:tc>
                <w:tcPr>
                  <w:tcW w:w="8105" w:type="dxa"/>
                  <w:gridSpan w:val="3"/>
                </w:tcPr>
                <w:p w:rsidR="00E57078" w:rsidRDefault="005A774A" w:rsidP="001D6EF8">
                  <w:pPr>
                    <w:framePr w:hSpace="180" w:wrap="around" w:vAnchor="text" w:hAnchor="margin" w:xAlign="center" w:y="192"/>
                    <w:spacing w:before="40"/>
                    <w:jc w:val="left"/>
                    <w:rPr>
                      <w:rFonts w:cs="Arial"/>
                      <w:color w:val="000000" w:themeColor="text1"/>
                      <w:szCs w:val="20"/>
                    </w:rPr>
                  </w:pPr>
                  <w:r w:rsidRPr="005621B3">
                    <w:rPr>
                      <w:rFonts w:cs="Arial"/>
                      <w:color w:val="000000" w:themeColor="text1"/>
                      <w:szCs w:val="20"/>
                    </w:rPr>
                    <w:t>Rebecca Vowles</w:t>
                  </w:r>
                </w:p>
              </w:tc>
            </w:tr>
          </w:tbl>
          <w:p w:rsidR="008D28BB" w:rsidRPr="00EA3990" w:rsidRDefault="008D28BB" w:rsidP="00353228">
            <w:pPr>
              <w:spacing w:before="40"/>
              <w:ind w:left="720"/>
              <w:jc w:val="left"/>
              <w:rPr>
                <w:rFonts w:cs="Arial"/>
                <w:color w:val="000000" w:themeColor="text1"/>
                <w:szCs w:val="20"/>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1D6EF8">
                  <w:pPr>
                    <w:framePr w:hSpace="180" w:wrap="around" w:vAnchor="text" w:hAnchor="margin" w:xAlign="center" w:y="192"/>
                    <w:spacing w:before="40"/>
                    <w:jc w:val="left"/>
                    <w:rPr>
                      <w:rFonts w:cs="Arial"/>
                      <w:color w:val="000000" w:themeColor="text1"/>
                      <w:szCs w:val="20"/>
                    </w:rPr>
                  </w:pPr>
                  <w:r>
                    <w:rPr>
                      <w:rFonts w:cs="Arial"/>
                      <w:color w:val="000000" w:themeColor="text1"/>
                      <w:szCs w:val="20"/>
                    </w:rPr>
                    <w:t>Employee Name</w:t>
                  </w:r>
                </w:p>
              </w:tc>
              <w:tc>
                <w:tcPr>
                  <w:tcW w:w="2991" w:type="dxa"/>
                </w:tcPr>
                <w:p w:rsidR="00086FFE" w:rsidRDefault="00086FFE" w:rsidP="001D6EF8">
                  <w:pPr>
                    <w:framePr w:hSpace="180" w:wrap="around" w:vAnchor="text" w:hAnchor="margin" w:xAlign="center" w:y="192"/>
                    <w:spacing w:before="40"/>
                    <w:jc w:val="left"/>
                    <w:rPr>
                      <w:rFonts w:cs="Arial"/>
                      <w:color w:val="000000" w:themeColor="text1"/>
                      <w:szCs w:val="20"/>
                    </w:rPr>
                  </w:pPr>
                </w:p>
              </w:tc>
              <w:tc>
                <w:tcPr>
                  <w:tcW w:w="2557" w:type="dxa"/>
                </w:tcPr>
                <w:p w:rsidR="00086FFE" w:rsidRDefault="00086FFE" w:rsidP="001D6EF8">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086FFE" w:rsidRDefault="00086FFE" w:rsidP="001D6EF8">
                  <w:pPr>
                    <w:framePr w:hSpace="180" w:wrap="around" w:vAnchor="text" w:hAnchor="margin" w:xAlign="center" w:y="192"/>
                    <w:spacing w:before="40"/>
                    <w:jc w:val="left"/>
                    <w:rPr>
                      <w:rFonts w:cs="Arial"/>
                      <w:color w:val="000000" w:themeColor="text1"/>
                      <w:szCs w:val="20"/>
                    </w:rPr>
                  </w:pPr>
                </w:p>
              </w:tc>
            </w:tr>
          </w:tbl>
          <w:p w:rsidR="00086FFE" w:rsidRDefault="00086FFE" w:rsidP="00572B0C">
            <w:pPr>
              <w:spacing w:before="40"/>
              <w:ind w:left="720"/>
              <w:jc w:val="left"/>
              <w:rPr>
                <w:rFonts w:cs="Arial"/>
                <w:color w:val="000000" w:themeColor="text1"/>
                <w:szCs w:val="20"/>
              </w:rPr>
            </w:pPr>
          </w:p>
          <w:p w:rsidR="008D28BB" w:rsidRPr="00EA3990" w:rsidRDefault="008D28BB" w:rsidP="00572B0C">
            <w:pPr>
              <w:spacing w:before="40"/>
              <w:ind w:left="720"/>
              <w:jc w:val="left"/>
              <w:rPr>
                <w:rFonts w:cs="Arial"/>
                <w:color w:val="000000" w:themeColor="text1"/>
                <w:szCs w:val="20"/>
              </w:rPr>
            </w:pPr>
          </w:p>
        </w:tc>
      </w:tr>
    </w:tbl>
    <w:p w:rsidR="00E57078" w:rsidRPr="00366A73" w:rsidRDefault="00E57078" w:rsidP="00086FFE">
      <w:pPr>
        <w:spacing w:after="200" w:line="276" w:lineRule="auto"/>
        <w:jc w:val="left"/>
      </w:pPr>
    </w:p>
    <w:sectPr w:rsidR="00E57078" w:rsidRPr="00366A73" w:rsidSect="002371C4">
      <w:headerReference w:type="default" r:id="rId14"/>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4F" w:rsidRDefault="00533D4F" w:rsidP="006936D0">
      <w:r>
        <w:separator/>
      </w:r>
    </w:p>
  </w:endnote>
  <w:endnote w:type="continuationSeparator" w:id="0">
    <w:p w:rsidR="00533D4F" w:rsidRDefault="00533D4F" w:rsidP="0069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4F" w:rsidRDefault="00533D4F" w:rsidP="006936D0">
      <w:r>
        <w:separator/>
      </w:r>
    </w:p>
  </w:footnote>
  <w:footnote w:type="continuationSeparator" w:id="0">
    <w:p w:rsidR="00533D4F" w:rsidRDefault="00533D4F" w:rsidP="00693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D0" w:rsidRDefault="00762DD0">
    <w:pPr>
      <w:pStyle w:val="Header"/>
    </w:pPr>
    <w:r>
      <w:rPr>
        <w:noProof/>
        <w:color w:val="FFFFFF" w:themeColor="background1"/>
        <w:sz w:val="40"/>
        <w:lang w:eastAsia="en-GB"/>
      </w:rPr>
      <w:drawing>
        <wp:anchor distT="0" distB="0" distL="114300" distR="114300" simplePos="0" relativeHeight="251661312" behindDoc="0" locked="0" layoutInCell="1" allowOverlap="1" wp14:anchorId="7AEDA250" wp14:editId="0978C86F">
          <wp:simplePos x="0" y="0"/>
          <wp:positionH relativeFrom="page">
            <wp:posOffset>5590540</wp:posOffset>
          </wp:positionH>
          <wp:positionV relativeFrom="page">
            <wp:posOffset>615950</wp:posOffset>
          </wp:positionV>
          <wp:extent cx="1466850" cy="628650"/>
          <wp:effectExtent l="0" t="0" r="0" b="0"/>
          <wp:wrapNone/>
          <wp:docPr id="7"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6850" cy="628650"/>
                  </a:xfrm>
                  <a:prstGeom prst="rect">
                    <a:avLst/>
                  </a:prstGeom>
                  <a:noFill/>
                  <a:ln w="9525">
                    <a:noFill/>
                    <a:miter lim="800000"/>
                    <a:headEnd/>
                    <a:tailEnd/>
                  </a:ln>
                </pic:spPr>
              </pic:pic>
            </a:graphicData>
          </a:graphic>
        </wp:anchor>
      </w:drawing>
    </w:r>
    <w:r>
      <w:rPr>
        <w:noProof/>
        <w:color w:val="FFFFFF" w:themeColor="background1"/>
        <w:sz w:val="40"/>
        <w:lang w:eastAsia="en-GB"/>
      </w:rPr>
      <w:drawing>
        <wp:anchor distT="0" distB="0" distL="114300" distR="114300" simplePos="0" relativeHeight="251663360" behindDoc="1" locked="0" layoutInCell="1" allowOverlap="1" wp14:anchorId="14608B8D" wp14:editId="56D66BAD">
          <wp:simplePos x="0" y="0"/>
          <wp:positionH relativeFrom="page">
            <wp:posOffset>-15164</wp:posOffset>
          </wp:positionH>
          <wp:positionV relativeFrom="page">
            <wp:posOffset>-14884</wp:posOffset>
          </wp:positionV>
          <wp:extent cx="7591401" cy="1565453"/>
          <wp:effectExtent l="0" t="0" r="0" b="0"/>
          <wp:wrapNone/>
          <wp:docPr id="6" name="Picture 8"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tiere_word_200dpi"/>
                  <pic:cNvPicPr>
                    <a:picLocks noChangeAspect="1" noChangeArrowheads="1"/>
                  </pic:cNvPicPr>
                </pic:nvPicPr>
                <pic:blipFill rotWithShape="1">
                  <a:blip r:embed="rId2"/>
                  <a:srcRect l="-23" r="23" b="34211"/>
                  <a:stretch/>
                </pic:blipFill>
                <pic:spPr bwMode="auto">
                  <a:xfrm>
                    <a:off x="0" y="0"/>
                    <a:ext cx="7591401" cy="15654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FFFFFF" w:themeColor="background1"/>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1pt;height:11.55pt" o:bullet="t">
        <v:imagedata r:id="rId1" o:title="carre-rouge"/>
      </v:shape>
    </w:pict>
  </w:numPicBullet>
  <w:abstractNum w:abstractNumId="0">
    <w:nsid w:val="00254552"/>
    <w:multiLevelType w:val="hybridMultilevel"/>
    <w:tmpl w:val="607832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726F3"/>
    <w:multiLevelType w:val="hybridMultilevel"/>
    <w:tmpl w:val="F322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nsid w:val="1530097A"/>
    <w:multiLevelType w:val="hybridMultilevel"/>
    <w:tmpl w:val="32DA4F08"/>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A7A9A"/>
    <w:multiLevelType w:val="hybridMultilevel"/>
    <w:tmpl w:val="685603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112CC"/>
    <w:multiLevelType w:val="hybridMultilevel"/>
    <w:tmpl w:val="954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655F7"/>
    <w:multiLevelType w:val="hybridMultilevel"/>
    <w:tmpl w:val="3CD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17540"/>
    <w:multiLevelType w:val="multilevel"/>
    <w:tmpl w:val="AA10C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FFA71E3"/>
    <w:multiLevelType w:val="hybridMultilevel"/>
    <w:tmpl w:val="CFD845A6"/>
    <w:lvl w:ilvl="0" w:tplc="A372D1BA">
      <w:start w:val="1"/>
      <w:numFmt w:val="bullet"/>
      <w:lvlText w:val=""/>
      <w:lvlJc w:val="left"/>
      <w:pPr>
        <w:ind w:left="720" w:hanging="360"/>
      </w:pPr>
      <w:rPr>
        <w:rFonts w:ascii="Symbol" w:hAnsi="Symbol" w:hint="default"/>
        <w:color w:val="808080" w:themeColor="background1"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2"/>
  </w:num>
  <w:num w:numId="5">
    <w:abstractNumId w:val="7"/>
  </w:num>
  <w:num w:numId="6">
    <w:abstractNumId w:val="4"/>
  </w:num>
  <w:num w:numId="7">
    <w:abstractNumId w:val="16"/>
  </w:num>
  <w:num w:numId="8">
    <w:abstractNumId w:val="8"/>
  </w:num>
  <w:num w:numId="9">
    <w:abstractNumId w:val="20"/>
  </w:num>
  <w:num w:numId="10">
    <w:abstractNumId w:val="21"/>
  </w:num>
  <w:num w:numId="11">
    <w:abstractNumId w:val="11"/>
  </w:num>
  <w:num w:numId="12">
    <w:abstractNumId w:val="2"/>
  </w:num>
  <w:num w:numId="13">
    <w:abstractNumId w:val="17"/>
  </w:num>
  <w:num w:numId="14">
    <w:abstractNumId w:val="5"/>
  </w:num>
  <w:num w:numId="15">
    <w:abstractNumId w:val="18"/>
  </w:num>
  <w:num w:numId="16">
    <w:abstractNumId w:val="19"/>
  </w:num>
  <w:num w:numId="17">
    <w:abstractNumId w:val="22"/>
  </w:num>
  <w:num w:numId="18">
    <w:abstractNumId w:val="14"/>
  </w:num>
  <w:num w:numId="19">
    <w:abstractNumId w:val="2"/>
  </w:num>
  <w:num w:numId="20">
    <w:abstractNumId w:val="2"/>
  </w:num>
  <w:num w:numId="21">
    <w:abstractNumId w:val="2"/>
  </w:num>
  <w:num w:numId="22">
    <w:abstractNumId w:val="2"/>
  </w:num>
  <w:num w:numId="23">
    <w:abstractNumId w:val="10"/>
  </w:num>
  <w:num w:numId="24">
    <w:abstractNumId w:val="13"/>
  </w:num>
  <w:num w:numId="25">
    <w:abstractNumId w:val="23"/>
  </w:num>
  <w:num w:numId="26">
    <w:abstractNumId w:val="1"/>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5280"/>
    <w:rsid w:val="00023BCF"/>
    <w:rsid w:val="00040C4B"/>
    <w:rsid w:val="00063B17"/>
    <w:rsid w:val="00081E94"/>
    <w:rsid w:val="00086FFE"/>
    <w:rsid w:val="0009148A"/>
    <w:rsid w:val="000A0E73"/>
    <w:rsid w:val="000A21B2"/>
    <w:rsid w:val="000E3EF7"/>
    <w:rsid w:val="00104BDE"/>
    <w:rsid w:val="001212F1"/>
    <w:rsid w:val="0012756E"/>
    <w:rsid w:val="001321E0"/>
    <w:rsid w:val="00137A3F"/>
    <w:rsid w:val="00140AE7"/>
    <w:rsid w:val="00144E5D"/>
    <w:rsid w:val="00166E9F"/>
    <w:rsid w:val="001723BE"/>
    <w:rsid w:val="00182D19"/>
    <w:rsid w:val="001D6EF8"/>
    <w:rsid w:val="001F1F6A"/>
    <w:rsid w:val="002371C4"/>
    <w:rsid w:val="00237AC4"/>
    <w:rsid w:val="002477FF"/>
    <w:rsid w:val="0027206B"/>
    <w:rsid w:val="00284CD6"/>
    <w:rsid w:val="00293E5D"/>
    <w:rsid w:val="0029543B"/>
    <w:rsid w:val="002B1DC6"/>
    <w:rsid w:val="002F038A"/>
    <w:rsid w:val="002F0E8F"/>
    <w:rsid w:val="002F26E6"/>
    <w:rsid w:val="002F6515"/>
    <w:rsid w:val="0030267F"/>
    <w:rsid w:val="00311BDA"/>
    <w:rsid w:val="003264D2"/>
    <w:rsid w:val="00341022"/>
    <w:rsid w:val="003451A4"/>
    <w:rsid w:val="00354BCF"/>
    <w:rsid w:val="00364E02"/>
    <w:rsid w:val="00366A73"/>
    <w:rsid w:val="00372C30"/>
    <w:rsid w:val="00384AF1"/>
    <w:rsid w:val="0039039A"/>
    <w:rsid w:val="003916F0"/>
    <w:rsid w:val="00397042"/>
    <w:rsid w:val="003C42E0"/>
    <w:rsid w:val="003E23B4"/>
    <w:rsid w:val="003E7C56"/>
    <w:rsid w:val="003F2FBA"/>
    <w:rsid w:val="00410C2F"/>
    <w:rsid w:val="00411726"/>
    <w:rsid w:val="00414251"/>
    <w:rsid w:val="00416C1D"/>
    <w:rsid w:val="004238D8"/>
    <w:rsid w:val="00424476"/>
    <w:rsid w:val="00436B39"/>
    <w:rsid w:val="00470ACE"/>
    <w:rsid w:val="00496516"/>
    <w:rsid w:val="004D170A"/>
    <w:rsid w:val="004E259C"/>
    <w:rsid w:val="004E515D"/>
    <w:rsid w:val="004F336E"/>
    <w:rsid w:val="00520545"/>
    <w:rsid w:val="00522BFC"/>
    <w:rsid w:val="00533D4F"/>
    <w:rsid w:val="00544038"/>
    <w:rsid w:val="005621B3"/>
    <w:rsid w:val="005A774A"/>
    <w:rsid w:val="005B6C5F"/>
    <w:rsid w:val="005D08C7"/>
    <w:rsid w:val="005D77FC"/>
    <w:rsid w:val="005E5B63"/>
    <w:rsid w:val="005F2C21"/>
    <w:rsid w:val="006017F6"/>
    <w:rsid w:val="00613392"/>
    <w:rsid w:val="00616B0B"/>
    <w:rsid w:val="00622556"/>
    <w:rsid w:val="00646B79"/>
    <w:rsid w:val="006471DC"/>
    <w:rsid w:val="00656519"/>
    <w:rsid w:val="00674674"/>
    <w:rsid w:val="006802C0"/>
    <w:rsid w:val="00682212"/>
    <w:rsid w:val="006926A6"/>
    <w:rsid w:val="006936D0"/>
    <w:rsid w:val="006C1CA5"/>
    <w:rsid w:val="006E48EE"/>
    <w:rsid w:val="00705802"/>
    <w:rsid w:val="00725C82"/>
    <w:rsid w:val="00725DD0"/>
    <w:rsid w:val="00745A24"/>
    <w:rsid w:val="007461B1"/>
    <w:rsid w:val="00762DD0"/>
    <w:rsid w:val="007B328B"/>
    <w:rsid w:val="007E7451"/>
    <w:rsid w:val="007F602D"/>
    <w:rsid w:val="00805B3B"/>
    <w:rsid w:val="00833D62"/>
    <w:rsid w:val="0084040B"/>
    <w:rsid w:val="00842E71"/>
    <w:rsid w:val="00851118"/>
    <w:rsid w:val="00863776"/>
    <w:rsid w:val="008650EB"/>
    <w:rsid w:val="0087460F"/>
    <w:rsid w:val="00882434"/>
    <w:rsid w:val="008B337C"/>
    <w:rsid w:val="008B64DE"/>
    <w:rsid w:val="008C263D"/>
    <w:rsid w:val="008D1A2B"/>
    <w:rsid w:val="008D28BB"/>
    <w:rsid w:val="008D4065"/>
    <w:rsid w:val="008E5916"/>
    <w:rsid w:val="008E75D6"/>
    <w:rsid w:val="008E79D7"/>
    <w:rsid w:val="00901FC5"/>
    <w:rsid w:val="00910D5E"/>
    <w:rsid w:val="00924991"/>
    <w:rsid w:val="00926BAA"/>
    <w:rsid w:val="00927389"/>
    <w:rsid w:val="0093782C"/>
    <w:rsid w:val="00942590"/>
    <w:rsid w:val="00944264"/>
    <w:rsid w:val="00951C6C"/>
    <w:rsid w:val="00957630"/>
    <w:rsid w:val="0096106C"/>
    <w:rsid w:val="009701FB"/>
    <w:rsid w:val="00975123"/>
    <w:rsid w:val="00982EE1"/>
    <w:rsid w:val="00994B8A"/>
    <w:rsid w:val="009C18F4"/>
    <w:rsid w:val="009E4E86"/>
    <w:rsid w:val="009F3B57"/>
    <w:rsid w:val="00A23C3F"/>
    <w:rsid w:val="00A32B04"/>
    <w:rsid w:val="00A37146"/>
    <w:rsid w:val="00A5445C"/>
    <w:rsid w:val="00A619ED"/>
    <w:rsid w:val="00A70079"/>
    <w:rsid w:val="00A95AE2"/>
    <w:rsid w:val="00AC3AD5"/>
    <w:rsid w:val="00AC4677"/>
    <w:rsid w:val="00AD1DEC"/>
    <w:rsid w:val="00AE11D6"/>
    <w:rsid w:val="00B04BFF"/>
    <w:rsid w:val="00B257ED"/>
    <w:rsid w:val="00B52A3E"/>
    <w:rsid w:val="00B70457"/>
    <w:rsid w:val="00B70628"/>
    <w:rsid w:val="00B83B7E"/>
    <w:rsid w:val="00B857A1"/>
    <w:rsid w:val="00BB45F4"/>
    <w:rsid w:val="00BE49A8"/>
    <w:rsid w:val="00C00657"/>
    <w:rsid w:val="00C02000"/>
    <w:rsid w:val="00C04D49"/>
    <w:rsid w:val="00C109EA"/>
    <w:rsid w:val="00C16D11"/>
    <w:rsid w:val="00C315E2"/>
    <w:rsid w:val="00C35FED"/>
    <w:rsid w:val="00C4467B"/>
    <w:rsid w:val="00C4695A"/>
    <w:rsid w:val="00C52075"/>
    <w:rsid w:val="00C61430"/>
    <w:rsid w:val="00C61E19"/>
    <w:rsid w:val="00C74981"/>
    <w:rsid w:val="00C74FC8"/>
    <w:rsid w:val="00C93902"/>
    <w:rsid w:val="00CA1BD8"/>
    <w:rsid w:val="00CA57B6"/>
    <w:rsid w:val="00CC0297"/>
    <w:rsid w:val="00CC2929"/>
    <w:rsid w:val="00CD420C"/>
    <w:rsid w:val="00CE0723"/>
    <w:rsid w:val="00D039B7"/>
    <w:rsid w:val="00D05F40"/>
    <w:rsid w:val="00D20794"/>
    <w:rsid w:val="00D3157C"/>
    <w:rsid w:val="00D40878"/>
    <w:rsid w:val="00D80F4E"/>
    <w:rsid w:val="00D949FB"/>
    <w:rsid w:val="00DB07C1"/>
    <w:rsid w:val="00DE0EF3"/>
    <w:rsid w:val="00DE5E49"/>
    <w:rsid w:val="00DE612F"/>
    <w:rsid w:val="00DF488B"/>
    <w:rsid w:val="00E16681"/>
    <w:rsid w:val="00E2765E"/>
    <w:rsid w:val="00E303AB"/>
    <w:rsid w:val="00E3099A"/>
    <w:rsid w:val="00E31AA0"/>
    <w:rsid w:val="00E33C91"/>
    <w:rsid w:val="00E57078"/>
    <w:rsid w:val="00E6718E"/>
    <w:rsid w:val="00E70392"/>
    <w:rsid w:val="00E86121"/>
    <w:rsid w:val="00E94BE6"/>
    <w:rsid w:val="00EA36F2"/>
    <w:rsid w:val="00EA3990"/>
    <w:rsid w:val="00EA445C"/>
    <w:rsid w:val="00EA4C16"/>
    <w:rsid w:val="00EA5822"/>
    <w:rsid w:val="00EA6C80"/>
    <w:rsid w:val="00EA7F15"/>
    <w:rsid w:val="00EB3140"/>
    <w:rsid w:val="00EB5B6A"/>
    <w:rsid w:val="00EB7CAD"/>
    <w:rsid w:val="00EC6CCC"/>
    <w:rsid w:val="00EE7214"/>
    <w:rsid w:val="00EF6ED7"/>
    <w:rsid w:val="00F173C4"/>
    <w:rsid w:val="00F479E6"/>
    <w:rsid w:val="00F542B8"/>
    <w:rsid w:val="00F77FE0"/>
    <w:rsid w:val="00F817C2"/>
    <w:rsid w:val="00FA6733"/>
    <w:rsid w:val="00FA77F5"/>
    <w:rsid w:val="00FC32FA"/>
    <w:rsid w:val="00FC34AD"/>
    <w:rsid w:val="00FC560E"/>
    <w:rsid w:val="00FD4664"/>
    <w:rsid w:val="00FD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65676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65676A"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rPr>
  </w:style>
  <w:style w:type="paragraph" w:styleId="Header">
    <w:name w:val="header"/>
    <w:basedOn w:val="Normal"/>
    <w:link w:val="HeaderChar"/>
    <w:uiPriority w:val="99"/>
    <w:unhideWhenUsed/>
    <w:rsid w:val="006936D0"/>
    <w:pPr>
      <w:tabs>
        <w:tab w:val="center" w:pos="4513"/>
        <w:tab w:val="right" w:pos="9026"/>
      </w:tabs>
    </w:pPr>
  </w:style>
  <w:style w:type="character" w:customStyle="1" w:styleId="HeaderChar">
    <w:name w:val="Header Char"/>
    <w:basedOn w:val="DefaultParagraphFont"/>
    <w:link w:val="Header"/>
    <w:uiPriority w:val="99"/>
    <w:rsid w:val="006936D0"/>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6936D0"/>
    <w:pPr>
      <w:tabs>
        <w:tab w:val="center" w:pos="4513"/>
        <w:tab w:val="right" w:pos="9026"/>
      </w:tabs>
    </w:pPr>
  </w:style>
  <w:style w:type="character" w:customStyle="1" w:styleId="FooterChar">
    <w:name w:val="Footer Char"/>
    <w:basedOn w:val="DefaultParagraphFont"/>
    <w:link w:val="Footer"/>
    <w:uiPriority w:val="99"/>
    <w:rsid w:val="006936D0"/>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F817C2"/>
    <w:rPr>
      <w:sz w:val="16"/>
      <w:szCs w:val="16"/>
    </w:rPr>
  </w:style>
  <w:style w:type="paragraph" w:styleId="CommentText">
    <w:name w:val="annotation text"/>
    <w:basedOn w:val="Normal"/>
    <w:link w:val="CommentTextChar"/>
    <w:uiPriority w:val="99"/>
    <w:semiHidden/>
    <w:unhideWhenUsed/>
    <w:rsid w:val="00F817C2"/>
    <w:rPr>
      <w:szCs w:val="20"/>
    </w:rPr>
  </w:style>
  <w:style w:type="character" w:customStyle="1" w:styleId="CommentTextChar">
    <w:name w:val="Comment Text Char"/>
    <w:basedOn w:val="DefaultParagraphFont"/>
    <w:link w:val="CommentText"/>
    <w:uiPriority w:val="99"/>
    <w:semiHidden/>
    <w:rsid w:val="00F817C2"/>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F817C2"/>
    <w:rPr>
      <w:b/>
      <w:bCs/>
    </w:rPr>
  </w:style>
  <w:style w:type="character" w:customStyle="1" w:styleId="CommentSubjectChar">
    <w:name w:val="Comment Subject Char"/>
    <w:basedOn w:val="CommentTextChar"/>
    <w:link w:val="CommentSubject"/>
    <w:uiPriority w:val="99"/>
    <w:semiHidden/>
    <w:rsid w:val="00F817C2"/>
    <w:rPr>
      <w:rFonts w:ascii="Arial" w:eastAsia="Times New Roman" w:hAnsi="Arial"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65676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65676A"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rPr>
  </w:style>
  <w:style w:type="paragraph" w:styleId="Header">
    <w:name w:val="header"/>
    <w:basedOn w:val="Normal"/>
    <w:link w:val="HeaderChar"/>
    <w:uiPriority w:val="99"/>
    <w:unhideWhenUsed/>
    <w:rsid w:val="006936D0"/>
    <w:pPr>
      <w:tabs>
        <w:tab w:val="center" w:pos="4513"/>
        <w:tab w:val="right" w:pos="9026"/>
      </w:tabs>
    </w:pPr>
  </w:style>
  <w:style w:type="character" w:customStyle="1" w:styleId="HeaderChar">
    <w:name w:val="Header Char"/>
    <w:basedOn w:val="DefaultParagraphFont"/>
    <w:link w:val="Header"/>
    <w:uiPriority w:val="99"/>
    <w:rsid w:val="006936D0"/>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6936D0"/>
    <w:pPr>
      <w:tabs>
        <w:tab w:val="center" w:pos="4513"/>
        <w:tab w:val="right" w:pos="9026"/>
      </w:tabs>
    </w:pPr>
  </w:style>
  <w:style w:type="character" w:customStyle="1" w:styleId="FooterChar">
    <w:name w:val="Footer Char"/>
    <w:basedOn w:val="DefaultParagraphFont"/>
    <w:link w:val="Footer"/>
    <w:uiPriority w:val="99"/>
    <w:rsid w:val="006936D0"/>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F817C2"/>
    <w:rPr>
      <w:sz w:val="16"/>
      <w:szCs w:val="16"/>
    </w:rPr>
  </w:style>
  <w:style w:type="paragraph" w:styleId="CommentText">
    <w:name w:val="annotation text"/>
    <w:basedOn w:val="Normal"/>
    <w:link w:val="CommentTextChar"/>
    <w:uiPriority w:val="99"/>
    <w:semiHidden/>
    <w:unhideWhenUsed/>
    <w:rsid w:val="00F817C2"/>
    <w:rPr>
      <w:szCs w:val="20"/>
    </w:rPr>
  </w:style>
  <w:style w:type="character" w:customStyle="1" w:styleId="CommentTextChar">
    <w:name w:val="Comment Text Char"/>
    <w:basedOn w:val="DefaultParagraphFont"/>
    <w:link w:val="CommentText"/>
    <w:uiPriority w:val="99"/>
    <w:semiHidden/>
    <w:rsid w:val="00F817C2"/>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F817C2"/>
    <w:rPr>
      <w:b/>
      <w:bCs/>
    </w:rPr>
  </w:style>
  <w:style w:type="character" w:customStyle="1" w:styleId="CommentSubjectChar">
    <w:name w:val="Comment Subject Char"/>
    <w:basedOn w:val="CommentTextChar"/>
    <w:link w:val="CommentSubject"/>
    <w:uiPriority w:val="99"/>
    <w:semiHidden/>
    <w:rsid w:val="00F817C2"/>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8882217-4CB2-4CCD-A7C0-70B40A8A6991}">
      <dgm:prSet/>
      <dgm:spPr/>
      <dgm:t>
        <a:bodyPr/>
        <a:lstStyle/>
        <a:p>
          <a:r>
            <a:rPr lang="en-GB"/>
            <a:t>Head of Asset and Estates Management</a:t>
          </a:r>
        </a:p>
      </dgm:t>
    </dgm:pt>
    <dgm:pt modelId="{1875CDE9-8FC4-4908-A533-C4FD3C2193D0}" type="parTrans" cxnId="{DA4777EB-611A-4690-81E2-769D3EC6966D}">
      <dgm:prSet/>
      <dgm:spPr/>
      <dgm:t>
        <a:bodyPr/>
        <a:lstStyle/>
        <a:p>
          <a:endParaRPr lang="en-GB"/>
        </a:p>
      </dgm:t>
    </dgm:pt>
    <dgm:pt modelId="{AE046FFB-30F4-4CE9-A98E-C1B442239EE5}" type="sibTrans" cxnId="{DA4777EB-611A-4690-81E2-769D3EC6966D}">
      <dgm:prSet/>
      <dgm:spPr/>
      <dgm:t>
        <a:bodyPr/>
        <a:lstStyle/>
        <a:p>
          <a:endParaRPr lang="en-GB"/>
        </a:p>
      </dgm:t>
    </dgm:pt>
    <dgm:pt modelId="{ED448E55-922E-4E25-BF3D-766E64C6BFFD}">
      <dgm:prSet phldrT="[Text]"/>
      <dgm:spPr/>
      <dgm:t>
        <a:bodyPr/>
        <a:lstStyle/>
        <a:p>
          <a:r>
            <a:rPr lang="en-GB" b="0"/>
            <a:t>Energy</a:t>
          </a:r>
          <a:r>
            <a:rPr lang="en-GB" b="1"/>
            <a:t> </a:t>
          </a:r>
          <a:r>
            <a:rPr lang="en-GB" b="0"/>
            <a:t>and Sustainability Manager</a:t>
          </a:r>
        </a:p>
      </dgm:t>
    </dgm:pt>
    <dgm:pt modelId="{D15524F9-208A-40FA-BFC3-779C47A6775B}" type="parTrans" cxnId="{803362AC-65BD-4A85-9EC9-D8CF1439E91E}">
      <dgm:prSet/>
      <dgm:spPr/>
      <dgm:t>
        <a:bodyPr/>
        <a:lstStyle/>
        <a:p>
          <a:endParaRPr lang="en-GB"/>
        </a:p>
      </dgm:t>
    </dgm:pt>
    <dgm:pt modelId="{139197A3-3462-4E6D-81A2-2A7E39502735}" type="sibTrans" cxnId="{803362AC-65BD-4A85-9EC9-D8CF1439E91E}">
      <dgm:prSet/>
      <dgm:spPr/>
      <dgm:t>
        <a:bodyPr/>
        <a:lstStyle/>
        <a:p>
          <a:endParaRPr lang="en-GB"/>
        </a:p>
      </dgm:t>
    </dgm:pt>
    <dgm:pt modelId="{435A730F-A72F-48CA-96CD-5AC0B10B798E}">
      <dgm:prSet phldrT="[Text]"/>
      <dgm:spPr>
        <a:solidFill>
          <a:schemeClr val="accent1"/>
        </a:solidFill>
      </dgm:spPr>
      <dgm:t>
        <a:bodyPr/>
        <a:lstStyle/>
        <a:p>
          <a:r>
            <a:rPr lang="en-GB"/>
            <a:t>Energy Performance Analyst</a:t>
          </a:r>
        </a:p>
      </dgm:t>
    </dgm:pt>
    <dgm:pt modelId="{B83C7088-07FA-437D-BAB6-737DEB817434}" type="parTrans" cxnId="{7976987F-8112-44B3-9805-07C4043AEE3A}">
      <dgm:prSet/>
      <dgm:spPr/>
      <dgm:t>
        <a:bodyPr/>
        <a:lstStyle/>
        <a:p>
          <a:endParaRPr lang="en-GB"/>
        </a:p>
      </dgm:t>
    </dgm:pt>
    <dgm:pt modelId="{5EFF408B-C30B-45D7-A65A-7C0A04724519}" type="sibTrans" cxnId="{7976987F-8112-44B3-9805-07C4043AEE3A}">
      <dgm:prSet/>
      <dgm:spPr/>
      <dgm:t>
        <a:bodyPr/>
        <a:lstStyle/>
        <a:p>
          <a:endParaRPr lang="en-GB"/>
        </a:p>
      </dgm:t>
    </dgm:pt>
    <dgm:pt modelId="{ACA18293-8366-4691-BA57-E73EE80BC71E}">
      <dgm:prSet phldrT="[Text]"/>
      <dgm:spPr>
        <a:solidFill>
          <a:schemeClr val="tx2"/>
        </a:solidFill>
      </dgm:spPr>
      <dgm:t>
        <a:bodyPr/>
        <a:lstStyle/>
        <a:p>
          <a:r>
            <a:rPr lang="en-GB" b="0" baseline="0"/>
            <a:t>Energy Manager</a:t>
          </a:r>
          <a:endParaRPr lang="en-GB" b="0"/>
        </a:p>
      </dgm:t>
    </dgm:pt>
    <dgm:pt modelId="{B7608732-510F-46F7-A87A-1F2A8C547E1F}" type="parTrans" cxnId="{3962D22F-DC20-40D4-8DA8-97C2A5EF5BF6}">
      <dgm:prSet/>
      <dgm:spPr/>
      <dgm:t>
        <a:bodyPr/>
        <a:lstStyle/>
        <a:p>
          <a:endParaRPr lang="en-GB"/>
        </a:p>
      </dgm:t>
    </dgm:pt>
    <dgm:pt modelId="{45CDFB8C-5C95-4173-B42D-06DA81CD525E}" type="sibTrans" cxnId="{3962D22F-DC20-40D4-8DA8-97C2A5EF5BF6}">
      <dgm:prSet/>
      <dgm:spPr/>
      <dgm:t>
        <a:bodyPr/>
        <a:lstStyle/>
        <a:p>
          <a:endParaRPr lang="en-GB"/>
        </a:p>
      </dgm:t>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t>
        <a:bodyPr/>
        <a:lstStyle/>
        <a:p>
          <a:endParaRPr lang="en-GB"/>
        </a:p>
      </dgm:t>
    </dgm:pt>
    <dgm:pt modelId="{C3121A90-754D-4B0A-AE2E-8A9D180D8EBE}" type="pres">
      <dgm:prSet presAssocID="{F8882217-4CB2-4CCD-A7C0-70B40A8A6991}" presName="hierRoot1" presStyleCnt="0">
        <dgm:presLayoutVars>
          <dgm:hierBranch val="init"/>
        </dgm:presLayoutVars>
      </dgm:prSet>
      <dgm:spPr/>
    </dgm:pt>
    <dgm:pt modelId="{7D81DA6E-E8B7-4BC8-B8C1-0A140BB2B140}" type="pres">
      <dgm:prSet presAssocID="{F8882217-4CB2-4CCD-A7C0-70B40A8A6991}" presName="rootComposite1" presStyleCnt="0"/>
      <dgm:spPr/>
    </dgm:pt>
    <dgm:pt modelId="{2398DC5A-0585-4717-BB46-527084AD61FD}" type="pres">
      <dgm:prSet presAssocID="{F8882217-4CB2-4CCD-A7C0-70B40A8A6991}" presName="rootText1" presStyleLbl="node0" presStyleIdx="0" presStyleCnt="1">
        <dgm:presLayoutVars>
          <dgm:chPref val="3"/>
        </dgm:presLayoutVars>
      </dgm:prSet>
      <dgm:spPr/>
      <dgm:t>
        <a:bodyPr/>
        <a:lstStyle/>
        <a:p>
          <a:endParaRPr lang="en-GB"/>
        </a:p>
      </dgm:t>
    </dgm:pt>
    <dgm:pt modelId="{BE1ACD3C-FB44-45BB-81EF-195BE2E691EB}" type="pres">
      <dgm:prSet presAssocID="{F8882217-4CB2-4CCD-A7C0-70B40A8A6991}" presName="rootConnector1" presStyleLbl="node1" presStyleIdx="0" presStyleCnt="0"/>
      <dgm:spPr/>
      <dgm:t>
        <a:bodyPr/>
        <a:lstStyle/>
        <a:p>
          <a:endParaRPr lang="en-GB"/>
        </a:p>
      </dgm:t>
    </dgm:pt>
    <dgm:pt modelId="{3AD6D796-1D80-40A9-8503-66C4C09AEB27}" type="pres">
      <dgm:prSet presAssocID="{F8882217-4CB2-4CCD-A7C0-70B40A8A6991}" presName="hierChild2" presStyleCnt="0"/>
      <dgm:spPr/>
    </dgm:pt>
    <dgm:pt modelId="{A0377224-C8F6-4DE0-AE1B-489F6D69FEAC}" type="pres">
      <dgm:prSet presAssocID="{D15524F9-208A-40FA-BFC3-779C47A6775B}" presName="Name37" presStyleLbl="parChTrans1D2" presStyleIdx="0" presStyleCnt="1"/>
      <dgm:spPr/>
      <dgm:t>
        <a:bodyPr/>
        <a:lstStyle/>
        <a:p>
          <a:endParaRPr lang="en-GB"/>
        </a:p>
      </dgm:t>
    </dgm:pt>
    <dgm:pt modelId="{754173F9-C635-4932-BD7E-334788D2DFA9}" type="pres">
      <dgm:prSet presAssocID="{ED448E55-922E-4E25-BF3D-766E64C6BFFD}" presName="hierRoot2" presStyleCnt="0">
        <dgm:presLayoutVars>
          <dgm:hierBranch val="init"/>
        </dgm:presLayoutVars>
      </dgm:prSet>
      <dgm:spPr/>
    </dgm:pt>
    <dgm:pt modelId="{4665632D-DA58-4C14-A003-598EE2406703}" type="pres">
      <dgm:prSet presAssocID="{ED448E55-922E-4E25-BF3D-766E64C6BFFD}" presName="rootComposite" presStyleCnt="0"/>
      <dgm:spPr/>
    </dgm:pt>
    <dgm:pt modelId="{38EA174E-049A-457A-8458-4F6DEB3367C7}" type="pres">
      <dgm:prSet presAssocID="{ED448E55-922E-4E25-BF3D-766E64C6BFFD}" presName="rootText" presStyleLbl="node2" presStyleIdx="0" presStyleCnt="1">
        <dgm:presLayoutVars>
          <dgm:chPref val="3"/>
        </dgm:presLayoutVars>
      </dgm:prSet>
      <dgm:spPr/>
      <dgm:t>
        <a:bodyPr/>
        <a:lstStyle/>
        <a:p>
          <a:endParaRPr lang="en-GB"/>
        </a:p>
      </dgm:t>
    </dgm:pt>
    <dgm:pt modelId="{1578CCD6-510B-4F0C-B76F-B4D73AE4FB6A}" type="pres">
      <dgm:prSet presAssocID="{ED448E55-922E-4E25-BF3D-766E64C6BFFD}" presName="rootConnector" presStyleLbl="node2" presStyleIdx="0" presStyleCnt="1"/>
      <dgm:spPr/>
      <dgm:t>
        <a:bodyPr/>
        <a:lstStyle/>
        <a:p>
          <a:endParaRPr lang="en-GB"/>
        </a:p>
      </dgm:t>
    </dgm:pt>
    <dgm:pt modelId="{7E14C61E-420B-4DA9-A0DD-CBF9FBA58649}" type="pres">
      <dgm:prSet presAssocID="{ED448E55-922E-4E25-BF3D-766E64C6BFFD}" presName="hierChild4" presStyleCnt="0"/>
      <dgm:spPr/>
    </dgm:pt>
    <dgm:pt modelId="{5BC44B71-9EE7-49E7-995F-C75EAD820591}" type="pres">
      <dgm:prSet presAssocID="{B7608732-510F-46F7-A87A-1F2A8C547E1F}" presName="Name37" presStyleLbl="parChTrans1D3" presStyleIdx="0" presStyleCnt="2"/>
      <dgm:spPr/>
      <dgm:t>
        <a:bodyPr/>
        <a:lstStyle/>
        <a:p>
          <a:endParaRPr lang="en-GB"/>
        </a:p>
      </dgm:t>
    </dgm:pt>
    <dgm:pt modelId="{3764111D-F1E5-4FA1-BB14-4CC33651232A}" type="pres">
      <dgm:prSet presAssocID="{ACA18293-8366-4691-BA57-E73EE80BC71E}" presName="hierRoot2" presStyleCnt="0">
        <dgm:presLayoutVars>
          <dgm:hierBranch val="init"/>
        </dgm:presLayoutVars>
      </dgm:prSet>
      <dgm:spPr/>
    </dgm:pt>
    <dgm:pt modelId="{A86A494F-E5C4-47DD-85DD-8460D398C514}" type="pres">
      <dgm:prSet presAssocID="{ACA18293-8366-4691-BA57-E73EE80BC71E}" presName="rootComposite" presStyleCnt="0"/>
      <dgm:spPr/>
    </dgm:pt>
    <dgm:pt modelId="{BB6F4FCD-3B0B-48A5-85F3-5448742910E1}" type="pres">
      <dgm:prSet presAssocID="{ACA18293-8366-4691-BA57-E73EE80BC71E}" presName="rootText" presStyleLbl="node3" presStyleIdx="0" presStyleCnt="2">
        <dgm:presLayoutVars>
          <dgm:chPref val="3"/>
        </dgm:presLayoutVars>
      </dgm:prSet>
      <dgm:spPr/>
      <dgm:t>
        <a:bodyPr/>
        <a:lstStyle/>
        <a:p>
          <a:endParaRPr lang="en-GB"/>
        </a:p>
      </dgm:t>
    </dgm:pt>
    <dgm:pt modelId="{D77704B7-1867-4D4E-B008-5D3AE75BFA24}" type="pres">
      <dgm:prSet presAssocID="{ACA18293-8366-4691-BA57-E73EE80BC71E}" presName="rootConnector" presStyleLbl="node3" presStyleIdx="0" presStyleCnt="2"/>
      <dgm:spPr/>
      <dgm:t>
        <a:bodyPr/>
        <a:lstStyle/>
        <a:p>
          <a:endParaRPr lang="en-GB"/>
        </a:p>
      </dgm:t>
    </dgm:pt>
    <dgm:pt modelId="{1C7938DD-CE6C-43C3-ADF5-EEDBA069558A}" type="pres">
      <dgm:prSet presAssocID="{ACA18293-8366-4691-BA57-E73EE80BC71E}" presName="hierChild4" presStyleCnt="0"/>
      <dgm:spPr/>
    </dgm:pt>
    <dgm:pt modelId="{0FEBC16F-3BB5-4665-9CB7-3102CD3F1F4D}" type="pres">
      <dgm:prSet presAssocID="{ACA18293-8366-4691-BA57-E73EE80BC71E}" presName="hierChild5" presStyleCnt="0"/>
      <dgm:spPr/>
    </dgm:pt>
    <dgm:pt modelId="{35C708C0-D190-4119-AE0F-0411959A3E7C}" type="pres">
      <dgm:prSet presAssocID="{B83C7088-07FA-437D-BAB6-737DEB817434}" presName="Name37" presStyleLbl="parChTrans1D3" presStyleIdx="1" presStyleCnt="2"/>
      <dgm:spPr/>
      <dgm:t>
        <a:bodyPr/>
        <a:lstStyle/>
        <a:p>
          <a:endParaRPr lang="en-GB"/>
        </a:p>
      </dgm:t>
    </dgm:pt>
    <dgm:pt modelId="{A85418EF-8BAE-444F-961C-EADDCB2C40FD}" type="pres">
      <dgm:prSet presAssocID="{435A730F-A72F-48CA-96CD-5AC0B10B798E}" presName="hierRoot2" presStyleCnt="0">
        <dgm:presLayoutVars>
          <dgm:hierBranch val="init"/>
        </dgm:presLayoutVars>
      </dgm:prSet>
      <dgm:spPr/>
    </dgm:pt>
    <dgm:pt modelId="{90FF8795-0E49-4A1F-999A-C8598F3CF80B}" type="pres">
      <dgm:prSet presAssocID="{435A730F-A72F-48CA-96CD-5AC0B10B798E}" presName="rootComposite" presStyleCnt="0"/>
      <dgm:spPr/>
    </dgm:pt>
    <dgm:pt modelId="{0DF1BB27-94AB-411F-8868-DEAB201E9B65}" type="pres">
      <dgm:prSet presAssocID="{435A730F-A72F-48CA-96CD-5AC0B10B798E}" presName="rootText" presStyleLbl="node3" presStyleIdx="1" presStyleCnt="2">
        <dgm:presLayoutVars>
          <dgm:chPref val="3"/>
        </dgm:presLayoutVars>
      </dgm:prSet>
      <dgm:spPr/>
      <dgm:t>
        <a:bodyPr/>
        <a:lstStyle/>
        <a:p>
          <a:endParaRPr lang="en-GB"/>
        </a:p>
      </dgm:t>
    </dgm:pt>
    <dgm:pt modelId="{EAA06BA9-DF12-49A8-A10F-11C730F6995E}" type="pres">
      <dgm:prSet presAssocID="{435A730F-A72F-48CA-96CD-5AC0B10B798E}" presName="rootConnector" presStyleLbl="node3" presStyleIdx="1" presStyleCnt="2"/>
      <dgm:spPr/>
      <dgm:t>
        <a:bodyPr/>
        <a:lstStyle/>
        <a:p>
          <a:endParaRPr lang="en-GB"/>
        </a:p>
      </dgm:t>
    </dgm:pt>
    <dgm:pt modelId="{B7BAD6DD-4BB9-46C6-A0B9-B72811844143}" type="pres">
      <dgm:prSet presAssocID="{435A730F-A72F-48CA-96CD-5AC0B10B798E}" presName="hierChild4" presStyleCnt="0"/>
      <dgm:spPr/>
    </dgm:pt>
    <dgm:pt modelId="{1235FC88-9AB5-4441-B4C1-DFC12858CCD9}" type="pres">
      <dgm:prSet presAssocID="{435A730F-A72F-48CA-96CD-5AC0B10B798E}" presName="hierChild5" presStyleCnt="0"/>
      <dgm:spPr/>
    </dgm:pt>
    <dgm:pt modelId="{8004E627-CB7D-4C6B-A5BD-D0A6CD28D440}" type="pres">
      <dgm:prSet presAssocID="{ED448E55-922E-4E25-BF3D-766E64C6BFFD}" presName="hierChild5" presStyleCnt="0"/>
      <dgm:spPr/>
    </dgm:pt>
    <dgm:pt modelId="{7B077A6F-CEBB-49F2-A8D1-554AFBAE4E57}" type="pres">
      <dgm:prSet presAssocID="{F8882217-4CB2-4CCD-A7C0-70B40A8A6991}" presName="hierChild3" presStyleCnt="0"/>
      <dgm:spPr/>
    </dgm:pt>
  </dgm:ptLst>
  <dgm:cxnLst>
    <dgm:cxn modelId="{76540858-7F02-4EC2-B48B-3C71503CF5CB}" type="presOf" srcId="{B83C7088-07FA-437D-BAB6-737DEB817434}" destId="{35C708C0-D190-4119-AE0F-0411959A3E7C}" srcOrd="0" destOrd="0" presId="urn:microsoft.com/office/officeart/2005/8/layout/orgChart1"/>
    <dgm:cxn modelId="{6DD29542-8106-4CF0-BDC9-CB38A430F2C9}" type="presOf" srcId="{F8882217-4CB2-4CCD-A7C0-70B40A8A6991}" destId="{2398DC5A-0585-4717-BB46-527084AD61FD}" srcOrd="0" destOrd="0" presId="urn:microsoft.com/office/officeart/2005/8/layout/orgChart1"/>
    <dgm:cxn modelId="{C7CCAF48-AA37-47BF-804A-FD931D4E2078}" type="presOf" srcId="{F8882217-4CB2-4CCD-A7C0-70B40A8A6991}" destId="{BE1ACD3C-FB44-45BB-81EF-195BE2E691EB}" srcOrd="1" destOrd="0" presId="urn:microsoft.com/office/officeart/2005/8/layout/orgChart1"/>
    <dgm:cxn modelId="{61359DBD-E87B-4AE6-B109-415D70DF98B7}" type="presOf" srcId="{B7608732-510F-46F7-A87A-1F2A8C547E1F}" destId="{5BC44B71-9EE7-49E7-995F-C75EAD820591}" srcOrd="0" destOrd="0" presId="urn:microsoft.com/office/officeart/2005/8/layout/orgChart1"/>
    <dgm:cxn modelId="{4233E6D0-BC83-421D-91AC-531DFB226B6D}" type="presOf" srcId="{ACA18293-8366-4691-BA57-E73EE80BC71E}" destId="{BB6F4FCD-3B0B-48A5-85F3-5448742910E1}" srcOrd="0" destOrd="0" presId="urn:microsoft.com/office/officeart/2005/8/layout/orgChart1"/>
    <dgm:cxn modelId="{BAB7FAA3-C281-4904-8BFC-0C3360B7E709}" type="presOf" srcId="{057305DF-ED3D-41FF-9E87-46D0428D20E3}" destId="{83A60A7A-A360-4D7E-BD98-C57A1B4CD02C}" srcOrd="0" destOrd="0" presId="urn:microsoft.com/office/officeart/2005/8/layout/orgChart1"/>
    <dgm:cxn modelId="{034D3DC7-5F8B-4BD9-87BC-F1945A7DF1AA}" type="presOf" srcId="{ED448E55-922E-4E25-BF3D-766E64C6BFFD}" destId="{1578CCD6-510B-4F0C-B76F-B4D73AE4FB6A}" srcOrd="1" destOrd="0" presId="urn:microsoft.com/office/officeart/2005/8/layout/orgChart1"/>
    <dgm:cxn modelId="{DA4777EB-611A-4690-81E2-769D3EC6966D}" srcId="{057305DF-ED3D-41FF-9E87-46D0428D20E3}" destId="{F8882217-4CB2-4CCD-A7C0-70B40A8A6991}" srcOrd="0" destOrd="0" parTransId="{1875CDE9-8FC4-4908-A533-C4FD3C2193D0}" sibTransId="{AE046FFB-30F4-4CE9-A98E-C1B442239EE5}"/>
    <dgm:cxn modelId="{803362AC-65BD-4A85-9EC9-D8CF1439E91E}" srcId="{F8882217-4CB2-4CCD-A7C0-70B40A8A6991}" destId="{ED448E55-922E-4E25-BF3D-766E64C6BFFD}" srcOrd="0" destOrd="0" parTransId="{D15524F9-208A-40FA-BFC3-779C47A6775B}" sibTransId="{139197A3-3462-4E6D-81A2-2A7E39502735}"/>
    <dgm:cxn modelId="{C133C139-823E-4D22-A169-3AE46D2B1EF2}" type="presOf" srcId="{ED448E55-922E-4E25-BF3D-766E64C6BFFD}" destId="{38EA174E-049A-457A-8458-4F6DEB3367C7}" srcOrd="0" destOrd="0" presId="urn:microsoft.com/office/officeart/2005/8/layout/orgChart1"/>
    <dgm:cxn modelId="{3962D22F-DC20-40D4-8DA8-97C2A5EF5BF6}" srcId="{ED448E55-922E-4E25-BF3D-766E64C6BFFD}" destId="{ACA18293-8366-4691-BA57-E73EE80BC71E}" srcOrd="0" destOrd="0" parTransId="{B7608732-510F-46F7-A87A-1F2A8C547E1F}" sibTransId="{45CDFB8C-5C95-4173-B42D-06DA81CD525E}"/>
    <dgm:cxn modelId="{797BE807-8EDD-4CD7-9EDF-AAC709F8C5C6}" type="presOf" srcId="{435A730F-A72F-48CA-96CD-5AC0B10B798E}" destId="{0DF1BB27-94AB-411F-8868-DEAB201E9B65}" srcOrd="0" destOrd="0" presId="urn:microsoft.com/office/officeart/2005/8/layout/orgChart1"/>
    <dgm:cxn modelId="{7976987F-8112-44B3-9805-07C4043AEE3A}" srcId="{ED448E55-922E-4E25-BF3D-766E64C6BFFD}" destId="{435A730F-A72F-48CA-96CD-5AC0B10B798E}" srcOrd="1" destOrd="0" parTransId="{B83C7088-07FA-437D-BAB6-737DEB817434}" sibTransId="{5EFF408B-C30B-45D7-A65A-7C0A04724519}"/>
    <dgm:cxn modelId="{35E6B430-519E-4EBB-8332-B795281C7E8E}" type="presOf" srcId="{435A730F-A72F-48CA-96CD-5AC0B10B798E}" destId="{EAA06BA9-DF12-49A8-A10F-11C730F6995E}" srcOrd="1" destOrd="0" presId="urn:microsoft.com/office/officeart/2005/8/layout/orgChart1"/>
    <dgm:cxn modelId="{44C8A1AD-3947-4E76-8D00-19D5950D8A37}" type="presOf" srcId="{ACA18293-8366-4691-BA57-E73EE80BC71E}" destId="{D77704B7-1867-4D4E-B008-5D3AE75BFA24}" srcOrd="1" destOrd="0" presId="urn:microsoft.com/office/officeart/2005/8/layout/orgChart1"/>
    <dgm:cxn modelId="{EA3CDEC9-9544-4CCF-BEC7-8FE2BB23A9C8}" type="presOf" srcId="{D15524F9-208A-40FA-BFC3-779C47A6775B}" destId="{A0377224-C8F6-4DE0-AE1B-489F6D69FEAC}" srcOrd="0" destOrd="0" presId="urn:microsoft.com/office/officeart/2005/8/layout/orgChart1"/>
    <dgm:cxn modelId="{384B5AAF-06C9-4A5A-8D1A-C67EDDB7E1C9}" type="presParOf" srcId="{83A60A7A-A360-4D7E-BD98-C57A1B4CD02C}" destId="{C3121A90-754D-4B0A-AE2E-8A9D180D8EBE}" srcOrd="0" destOrd="0" presId="urn:microsoft.com/office/officeart/2005/8/layout/orgChart1"/>
    <dgm:cxn modelId="{85427EDD-8FB2-4EE4-9345-CBB4F3894D7D}" type="presParOf" srcId="{C3121A90-754D-4B0A-AE2E-8A9D180D8EBE}" destId="{7D81DA6E-E8B7-4BC8-B8C1-0A140BB2B140}" srcOrd="0" destOrd="0" presId="urn:microsoft.com/office/officeart/2005/8/layout/orgChart1"/>
    <dgm:cxn modelId="{09A37822-78A5-4998-828E-C2D19BB53581}" type="presParOf" srcId="{7D81DA6E-E8B7-4BC8-B8C1-0A140BB2B140}" destId="{2398DC5A-0585-4717-BB46-527084AD61FD}" srcOrd="0" destOrd="0" presId="urn:microsoft.com/office/officeart/2005/8/layout/orgChart1"/>
    <dgm:cxn modelId="{BBB10F78-897A-4CBE-8685-BB2197BF5A39}" type="presParOf" srcId="{7D81DA6E-E8B7-4BC8-B8C1-0A140BB2B140}" destId="{BE1ACD3C-FB44-45BB-81EF-195BE2E691EB}" srcOrd="1" destOrd="0" presId="urn:microsoft.com/office/officeart/2005/8/layout/orgChart1"/>
    <dgm:cxn modelId="{9C17F71A-A422-4C25-84B5-0AFD6CDF273A}" type="presParOf" srcId="{C3121A90-754D-4B0A-AE2E-8A9D180D8EBE}" destId="{3AD6D796-1D80-40A9-8503-66C4C09AEB27}" srcOrd="1" destOrd="0" presId="urn:microsoft.com/office/officeart/2005/8/layout/orgChart1"/>
    <dgm:cxn modelId="{75DE5307-DDEA-43BD-8CA7-DD936083F19A}" type="presParOf" srcId="{3AD6D796-1D80-40A9-8503-66C4C09AEB27}" destId="{A0377224-C8F6-4DE0-AE1B-489F6D69FEAC}" srcOrd="0" destOrd="0" presId="urn:microsoft.com/office/officeart/2005/8/layout/orgChart1"/>
    <dgm:cxn modelId="{09DDB1BE-1604-4CA2-9289-0C19BC0A7E8A}" type="presParOf" srcId="{3AD6D796-1D80-40A9-8503-66C4C09AEB27}" destId="{754173F9-C635-4932-BD7E-334788D2DFA9}" srcOrd="1" destOrd="0" presId="urn:microsoft.com/office/officeart/2005/8/layout/orgChart1"/>
    <dgm:cxn modelId="{6D56669D-6BDE-47E2-AFE2-7EA43F8824FC}" type="presParOf" srcId="{754173F9-C635-4932-BD7E-334788D2DFA9}" destId="{4665632D-DA58-4C14-A003-598EE2406703}" srcOrd="0" destOrd="0" presId="urn:microsoft.com/office/officeart/2005/8/layout/orgChart1"/>
    <dgm:cxn modelId="{23D944A3-A558-404C-97ED-3784616271FB}" type="presParOf" srcId="{4665632D-DA58-4C14-A003-598EE2406703}" destId="{38EA174E-049A-457A-8458-4F6DEB3367C7}" srcOrd="0" destOrd="0" presId="urn:microsoft.com/office/officeart/2005/8/layout/orgChart1"/>
    <dgm:cxn modelId="{BCE9FE5A-4288-4DF0-A331-039FD6A8B3CF}" type="presParOf" srcId="{4665632D-DA58-4C14-A003-598EE2406703}" destId="{1578CCD6-510B-4F0C-B76F-B4D73AE4FB6A}" srcOrd="1" destOrd="0" presId="urn:microsoft.com/office/officeart/2005/8/layout/orgChart1"/>
    <dgm:cxn modelId="{93E883D1-D8E1-406A-B515-359548F3860B}" type="presParOf" srcId="{754173F9-C635-4932-BD7E-334788D2DFA9}" destId="{7E14C61E-420B-4DA9-A0DD-CBF9FBA58649}" srcOrd="1" destOrd="0" presId="urn:microsoft.com/office/officeart/2005/8/layout/orgChart1"/>
    <dgm:cxn modelId="{611CEC27-32F8-4AFB-BB46-E27A0DDD16C0}" type="presParOf" srcId="{7E14C61E-420B-4DA9-A0DD-CBF9FBA58649}" destId="{5BC44B71-9EE7-49E7-995F-C75EAD820591}" srcOrd="0" destOrd="0" presId="urn:microsoft.com/office/officeart/2005/8/layout/orgChart1"/>
    <dgm:cxn modelId="{43F732B0-A7CD-442A-94BC-2CE9B3602F41}" type="presParOf" srcId="{7E14C61E-420B-4DA9-A0DD-CBF9FBA58649}" destId="{3764111D-F1E5-4FA1-BB14-4CC33651232A}" srcOrd="1" destOrd="0" presId="urn:microsoft.com/office/officeart/2005/8/layout/orgChart1"/>
    <dgm:cxn modelId="{2F16C21B-1594-436D-B66D-7327E6ABEF85}" type="presParOf" srcId="{3764111D-F1E5-4FA1-BB14-4CC33651232A}" destId="{A86A494F-E5C4-47DD-85DD-8460D398C514}" srcOrd="0" destOrd="0" presId="urn:microsoft.com/office/officeart/2005/8/layout/orgChart1"/>
    <dgm:cxn modelId="{6F38C14D-7D8F-4FEF-9782-47932340FA63}" type="presParOf" srcId="{A86A494F-E5C4-47DD-85DD-8460D398C514}" destId="{BB6F4FCD-3B0B-48A5-85F3-5448742910E1}" srcOrd="0" destOrd="0" presId="urn:microsoft.com/office/officeart/2005/8/layout/orgChart1"/>
    <dgm:cxn modelId="{3BD1999C-6F5A-45CE-908D-FE8E2F0818CB}" type="presParOf" srcId="{A86A494F-E5C4-47DD-85DD-8460D398C514}" destId="{D77704B7-1867-4D4E-B008-5D3AE75BFA24}" srcOrd="1" destOrd="0" presId="urn:microsoft.com/office/officeart/2005/8/layout/orgChart1"/>
    <dgm:cxn modelId="{0926A426-6CA6-40EA-BF92-5B255B405EBE}" type="presParOf" srcId="{3764111D-F1E5-4FA1-BB14-4CC33651232A}" destId="{1C7938DD-CE6C-43C3-ADF5-EEDBA069558A}" srcOrd="1" destOrd="0" presId="urn:microsoft.com/office/officeart/2005/8/layout/orgChart1"/>
    <dgm:cxn modelId="{E98FE292-CB35-4046-A56E-01B055F047C7}" type="presParOf" srcId="{3764111D-F1E5-4FA1-BB14-4CC33651232A}" destId="{0FEBC16F-3BB5-4665-9CB7-3102CD3F1F4D}" srcOrd="2" destOrd="0" presId="urn:microsoft.com/office/officeart/2005/8/layout/orgChart1"/>
    <dgm:cxn modelId="{569ACA04-6E6E-4D71-91AB-766A919CBE87}" type="presParOf" srcId="{7E14C61E-420B-4DA9-A0DD-CBF9FBA58649}" destId="{35C708C0-D190-4119-AE0F-0411959A3E7C}" srcOrd="2" destOrd="0" presId="urn:microsoft.com/office/officeart/2005/8/layout/orgChart1"/>
    <dgm:cxn modelId="{8611F771-7FAD-4C6C-B2A0-AAA4B22E46D2}" type="presParOf" srcId="{7E14C61E-420B-4DA9-A0DD-CBF9FBA58649}" destId="{A85418EF-8BAE-444F-961C-EADDCB2C40FD}" srcOrd="3" destOrd="0" presId="urn:microsoft.com/office/officeart/2005/8/layout/orgChart1"/>
    <dgm:cxn modelId="{7C34EE00-0504-4254-ADFC-34DB8D9D7C23}" type="presParOf" srcId="{A85418EF-8BAE-444F-961C-EADDCB2C40FD}" destId="{90FF8795-0E49-4A1F-999A-C8598F3CF80B}" srcOrd="0" destOrd="0" presId="urn:microsoft.com/office/officeart/2005/8/layout/orgChart1"/>
    <dgm:cxn modelId="{246EF8B4-A774-40E9-9F9C-495406D92D58}" type="presParOf" srcId="{90FF8795-0E49-4A1F-999A-C8598F3CF80B}" destId="{0DF1BB27-94AB-411F-8868-DEAB201E9B65}" srcOrd="0" destOrd="0" presId="urn:microsoft.com/office/officeart/2005/8/layout/orgChart1"/>
    <dgm:cxn modelId="{3E27536F-5724-44DD-905E-075FE70B6C8C}" type="presParOf" srcId="{90FF8795-0E49-4A1F-999A-C8598F3CF80B}" destId="{EAA06BA9-DF12-49A8-A10F-11C730F6995E}" srcOrd="1" destOrd="0" presId="urn:microsoft.com/office/officeart/2005/8/layout/orgChart1"/>
    <dgm:cxn modelId="{ADB90837-657A-4BF3-8F04-8D7713275AA8}" type="presParOf" srcId="{A85418EF-8BAE-444F-961C-EADDCB2C40FD}" destId="{B7BAD6DD-4BB9-46C6-A0B9-B72811844143}" srcOrd="1" destOrd="0" presId="urn:microsoft.com/office/officeart/2005/8/layout/orgChart1"/>
    <dgm:cxn modelId="{01CC859E-2791-4ADF-9190-82BDD9D79852}" type="presParOf" srcId="{A85418EF-8BAE-444F-961C-EADDCB2C40FD}" destId="{1235FC88-9AB5-4441-B4C1-DFC12858CCD9}" srcOrd="2" destOrd="0" presId="urn:microsoft.com/office/officeart/2005/8/layout/orgChart1"/>
    <dgm:cxn modelId="{EEAB3BDC-A907-4B4E-8BA2-59F73D874CC7}" type="presParOf" srcId="{754173F9-C635-4932-BD7E-334788D2DFA9}" destId="{8004E627-CB7D-4C6B-A5BD-D0A6CD28D440}" srcOrd="2" destOrd="0" presId="urn:microsoft.com/office/officeart/2005/8/layout/orgChart1"/>
    <dgm:cxn modelId="{3C8880FB-23DE-4664-843F-AEE8A4E12D60}" type="presParOf" srcId="{C3121A90-754D-4B0A-AE2E-8A9D180D8EBE}" destId="{7B077A6F-CEBB-49F2-A8D1-554AFBAE4E5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708C0-D190-4119-AE0F-0411959A3E7C}">
      <dsp:nvSpPr>
        <dsp:cNvPr id="0" name=""/>
        <dsp:cNvSpPr/>
      </dsp:nvSpPr>
      <dsp:spPr>
        <a:xfrm>
          <a:off x="1819250" y="889630"/>
          <a:ext cx="110224" cy="859754"/>
        </a:xfrm>
        <a:custGeom>
          <a:avLst/>
          <a:gdLst/>
          <a:ahLst/>
          <a:cxnLst/>
          <a:rect l="0" t="0" r="0" b="0"/>
          <a:pathLst>
            <a:path>
              <a:moveTo>
                <a:pt x="0" y="0"/>
              </a:moveTo>
              <a:lnTo>
                <a:pt x="0" y="859754"/>
              </a:lnTo>
              <a:lnTo>
                <a:pt x="110224" y="8597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C44B71-9EE7-49E7-995F-C75EAD820591}">
      <dsp:nvSpPr>
        <dsp:cNvPr id="0" name=""/>
        <dsp:cNvSpPr/>
      </dsp:nvSpPr>
      <dsp:spPr>
        <a:xfrm>
          <a:off x="1819250" y="889630"/>
          <a:ext cx="110224" cy="338023"/>
        </a:xfrm>
        <a:custGeom>
          <a:avLst/>
          <a:gdLst/>
          <a:ahLst/>
          <a:cxnLst/>
          <a:rect l="0" t="0" r="0" b="0"/>
          <a:pathLst>
            <a:path>
              <a:moveTo>
                <a:pt x="0" y="0"/>
              </a:moveTo>
              <a:lnTo>
                <a:pt x="0" y="338023"/>
              </a:lnTo>
              <a:lnTo>
                <a:pt x="110224" y="338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377224-C8F6-4DE0-AE1B-489F6D69FEAC}">
      <dsp:nvSpPr>
        <dsp:cNvPr id="0" name=""/>
        <dsp:cNvSpPr/>
      </dsp:nvSpPr>
      <dsp:spPr>
        <a:xfrm>
          <a:off x="2067463" y="367898"/>
          <a:ext cx="91440" cy="154314"/>
        </a:xfrm>
        <a:custGeom>
          <a:avLst/>
          <a:gdLst/>
          <a:ahLst/>
          <a:cxnLst/>
          <a:rect l="0" t="0" r="0" b="0"/>
          <a:pathLst>
            <a:path>
              <a:moveTo>
                <a:pt x="45720" y="0"/>
              </a:moveTo>
              <a:lnTo>
                <a:pt x="45720" y="154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8DC5A-0585-4717-BB46-527084AD61FD}">
      <dsp:nvSpPr>
        <dsp:cNvPr id="0" name=""/>
        <dsp:cNvSpPr/>
      </dsp:nvSpPr>
      <dsp:spPr>
        <a:xfrm>
          <a:off x="1745766" y="482"/>
          <a:ext cx="734833" cy="367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Head of Asset and Estates Management</a:t>
          </a:r>
        </a:p>
      </dsp:txBody>
      <dsp:txXfrm>
        <a:off x="1745766" y="482"/>
        <a:ext cx="734833" cy="367416"/>
      </dsp:txXfrm>
    </dsp:sp>
    <dsp:sp modelId="{38EA174E-049A-457A-8458-4F6DEB3367C7}">
      <dsp:nvSpPr>
        <dsp:cNvPr id="0" name=""/>
        <dsp:cNvSpPr/>
      </dsp:nvSpPr>
      <dsp:spPr>
        <a:xfrm>
          <a:off x="1745766" y="522213"/>
          <a:ext cx="734833" cy="367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a:t>Energy</a:t>
          </a:r>
          <a:r>
            <a:rPr lang="en-GB" sz="800" b="1" kern="1200"/>
            <a:t> </a:t>
          </a:r>
          <a:r>
            <a:rPr lang="en-GB" sz="800" b="0" kern="1200"/>
            <a:t>and Sustainability Manager</a:t>
          </a:r>
        </a:p>
      </dsp:txBody>
      <dsp:txXfrm>
        <a:off x="1745766" y="522213"/>
        <a:ext cx="734833" cy="367416"/>
      </dsp:txXfrm>
    </dsp:sp>
    <dsp:sp modelId="{BB6F4FCD-3B0B-48A5-85F3-5448742910E1}">
      <dsp:nvSpPr>
        <dsp:cNvPr id="0" name=""/>
        <dsp:cNvSpPr/>
      </dsp:nvSpPr>
      <dsp:spPr>
        <a:xfrm>
          <a:off x="1929475" y="1043944"/>
          <a:ext cx="734833" cy="367416"/>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baseline="0"/>
            <a:t>Energy Manager</a:t>
          </a:r>
          <a:endParaRPr lang="en-GB" sz="800" b="0" kern="1200"/>
        </a:p>
      </dsp:txBody>
      <dsp:txXfrm>
        <a:off x="1929475" y="1043944"/>
        <a:ext cx="734833" cy="367416"/>
      </dsp:txXfrm>
    </dsp:sp>
    <dsp:sp modelId="{0DF1BB27-94AB-411F-8868-DEAB201E9B65}">
      <dsp:nvSpPr>
        <dsp:cNvPr id="0" name=""/>
        <dsp:cNvSpPr/>
      </dsp:nvSpPr>
      <dsp:spPr>
        <a:xfrm>
          <a:off x="1929475" y="1565676"/>
          <a:ext cx="734833" cy="36741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Energy Performance Analyst</a:t>
          </a:r>
        </a:p>
      </dsp:txBody>
      <dsp:txXfrm>
        <a:off x="1929475" y="1565676"/>
        <a:ext cx="734833" cy="3674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Sodexo - MBF">
      <a:dk1>
        <a:srgbClr val="000000"/>
      </a:dk1>
      <a:lt1>
        <a:sysClr val="window" lastClr="FFFFFF"/>
      </a:lt1>
      <a:dk2>
        <a:srgbClr val="2A295C"/>
      </a:dk2>
      <a:lt2>
        <a:srgbClr val="FF0000"/>
      </a:lt2>
      <a:accent1>
        <a:srgbClr val="65676A"/>
      </a:accent1>
      <a:accent2>
        <a:srgbClr val="D3D0C9"/>
      </a:accent2>
      <a:accent3>
        <a:srgbClr val="283897"/>
      </a:accent3>
      <a:accent4>
        <a:srgbClr val="DE001F"/>
      </a:accent4>
      <a:accent5>
        <a:srgbClr val="FFB300"/>
      </a:accent5>
      <a:accent6>
        <a:srgbClr val="A6CB12"/>
      </a:accent6>
      <a:hlink>
        <a:srgbClr val="678442"/>
      </a:hlink>
      <a:folHlink>
        <a:srgbClr val="0348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3757-0BA9-4861-AC5B-BB57E01C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2018-09-18T14:36:00Z</dcterms:created>
  <dcterms:modified xsi:type="dcterms:W3CDTF">2018-09-18T14:36:00Z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