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40E7F55" wp14:editId="2B37B18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5359E">
                              <w:rPr>
                                <w:color w:val="FFFFFF"/>
                                <w:sz w:val="44"/>
                                <w:szCs w:val="44"/>
                                <w:lang w:val="en-CA"/>
                              </w:rPr>
                              <w:t>Head of Finance - Custody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0E7F55"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78B0D8E2"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5359E">
                        <w:rPr>
                          <w:color w:val="FFFFFF"/>
                          <w:sz w:val="44"/>
                          <w:szCs w:val="44"/>
                          <w:lang w:val="en-CA"/>
                        </w:rPr>
                        <w:t>Head of Finance - Custody</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2A3479D" wp14:editId="1CFF204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601"/>
        <w:gridCol w:w="851"/>
        <w:gridCol w:w="992"/>
        <w:gridCol w:w="1276"/>
        <w:gridCol w:w="850"/>
        <w:gridCol w:w="128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41F16" w:rsidP="00161F93">
            <w:pPr>
              <w:spacing w:before="20" w:after="20"/>
              <w:jc w:val="left"/>
              <w:rPr>
                <w:rFonts w:cs="Arial"/>
                <w:color w:val="000000"/>
                <w:szCs w:val="20"/>
              </w:rPr>
            </w:pPr>
            <w:r>
              <w:rPr>
                <w:rFonts w:cs="Arial"/>
                <w:color w:val="000000"/>
                <w:szCs w:val="20"/>
              </w:rPr>
              <w:t xml:space="preserve">Government and Agencies - Sodexo Justice Services </w:t>
            </w:r>
            <w:r w:rsidR="00E4127F">
              <w:rPr>
                <w:rFonts w:cs="Arial"/>
                <w:color w:val="000000"/>
                <w:szCs w:val="20"/>
              </w:rPr>
              <w:t>–</w:t>
            </w:r>
            <w:r>
              <w:rPr>
                <w:rFonts w:cs="Arial"/>
                <w:color w:val="000000"/>
                <w:szCs w:val="20"/>
              </w:rPr>
              <w:t xml:space="preserve"> C</w:t>
            </w:r>
            <w:r w:rsidR="00E4127F">
              <w:rPr>
                <w:rFonts w:cs="Arial"/>
                <w:color w:val="000000"/>
                <w:szCs w:val="20"/>
              </w:rPr>
              <w:t>ustodial and C</w:t>
            </w:r>
            <w:r>
              <w:rPr>
                <w:rFonts w:cs="Arial"/>
                <w:color w:val="000000"/>
                <w:szCs w:val="20"/>
              </w:rPr>
              <w:t>ommunity</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95359E" w:rsidP="00161F93">
            <w:pPr>
              <w:pStyle w:val="Heading2"/>
              <w:rPr>
                <w:lang w:val="en-CA"/>
              </w:rPr>
            </w:pPr>
            <w:r>
              <w:rPr>
                <w:lang w:val="en-CA"/>
              </w:rPr>
              <w:t>Head of Finance</w:t>
            </w:r>
            <w:r w:rsidR="00A11644">
              <w:rPr>
                <w:lang w:val="en-CA"/>
              </w:rPr>
              <w:t xml:space="preserve"> - Custody</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C555AA" w:rsidP="00161F93">
            <w:pPr>
              <w:spacing w:before="20" w:after="20"/>
              <w:jc w:val="left"/>
              <w:rPr>
                <w:rFonts w:cs="Arial"/>
                <w:color w:val="000000"/>
                <w:szCs w:val="20"/>
              </w:rPr>
            </w:pPr>
            <w:r>
              <w:rPr>
                <w:rFonts w:cs="Arial"/>
                <w:color w:val="000000"/>
                <w:szCs w:val="20"/>
              </w:rPr>
              <w:t>Vacant - 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E82A63" w:rsidP="00161F93">
            <w:pPr>
              <w:spacing w:before="20" w:after="20"/>
              <w:jc w:val="left"/>
              <w:rPr>
                <w:rFonts w:cs="Arial"/>
                <w:color w:val="000000"/>
                <w:szCs w:val="20"/>
              </w:rPr>
            </w:pPr>
            <w:r>
              <w:rPr>
                <w:rFonts w:cs="Arial"/>
                <w:color w:val="000000"/>
                <w:szCs w:val="20"/>
              </w:rPr>
              <w:t xml:space="preserve">1 </w:t>
            </w:r>
            <w:r w:rsidR="00C555AA">
              <w:rPr>
                <w:rFonts w:cs="Arial"/>
                <w:color w:val="000000"/>
                <w:szCs w:val="20"/>
              </w:rPr>
              <w:t>September 2019</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82A63" w:rsidP="00366A73">
            <w:pPr>
              <w:spacing w:before="20" w:after="20"/>
              <w:jc w:val="left"/>
              <w:rPr>
                <w:rFonts w:cs="Arial"/>
                <w:color w:val="000000"/>
                <w:szCs w:val="20"/>
              </w:rPr>
            </w:pPr>
            <w:r>
              <w:rPr>
                <w:rFonts w:cs="Arial"/>
                <w:color w:val="000000"/>
                <w:szCs w:val="20"/>
              </w:rPr>
              <w:t xml:space="preserve">Finance Director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8B5C6F" w:rsidP="00161F93">
            <w:pPr>
              <w:spacing w:before="20" w:after="20"/>
              <w:jc w:val="left"/>
              <w:rPr>
                <w:rFonts w:cs="Arial"/>
                <w:color w:val="000000"/>
                <w:szCs w:val="20"/>
              </w:rPr>
            </w:pPr>
            <w:r>
              <w:rPr>
                <w:rFonts w:cs="Arial"/>
                <w:color w:val="000000"/>
                <w:szCs w:val="20"/>
              </w:rPr>
              <w:t>London</w:t>
            </w:r>
            <w:bookmarkStart w:id="0" w:name="_GoBack"/>
            <w:bookmarkEnd w:id="0"/>
            <w:r w:rsidR="00C555AA">
              <w:rPr>
                <w:rFonts w:cs="Arial"/>
                <w:color w:val="000000"/>
                <w:szCs w:val="20"/>
              </w:rPr>
              <w:t xml:space="preserve"> / TBC</w:t>
            </w:r>
            <w:r w:rsidR="00941F16">
              <w:rPr>
                <w:rFonts w:cs="Arial"/>
                <w:color w:val="000000"/>
                <w:szCs w:val="20"/>
              </w:rPr>
              <w:t xml:space="preserve"> + Business Travel, when required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E82A63" w:rsidRPr="0095359E" w:rsidRDefault="00E82A63" w:rsidP="0095359E">
            <w:pPr>
              <w:numPr>
                <w:ilvl w:val="0"/>
                <w:numId w:val="2"/>
              </w:numPr>
              <w:tabs>
                <w:tab w:val="left" w:pos="3402"/>
              </w:tabs>
              <w:jc w:val="left"/>
              <w:rPr>
                <w:rFonts w:cs="Arial"/>
                <w:szCs w:val="18"/>
              </w:rPr>
            </w:pPr>
            <w:r w:rsidRPr="00E82A63">
              <w:rPr>
                <w:rFonts w:cs="Arial"/>
                <w:szCs w:val="18"/>
              </w:rPr>
              <w:t xml:space="preserve">Deliver financial and commercial insight to support </w:t>
            </w:r>
            <w:r w:rsidR="0095359E">
              <w:rPr>
                <w:rFonts w:cs="Arial"/>
                <w:szCs w:val="18"/>
              </w:rPr>
              <w:t xml:space="preserve">and influence </w:t>
            </w:r>
            <w:r w:rsidRPr="00E82A63">
              <w:rPr>
                <w:rFonts w:cs="Arial"/>
                <w:szCs w:val="18"/>
              </w:rPr>
              <w:t xml:space="preserve">decision making within </w:t>
            </w:r>
            <w:r w:rsidR="00AE3117">
              <w:rPr>
                <w:rFonts w:cs="Arial"/>
                <w:szCs w:val="18"/>
              </w:rPr>
              <w:t>custody</w:t>
            </w:r>
            <w:r w:rsidRPr="00E82A63">
              <w:rPr>
                <w:rFonts w:cs="Arial"/>
                <w:szCs w:val="18"/>
              </w:rPr>
              <w:t xml:space="preserve">, which is regarded as excellent by customers and finance colleagues, and both proactive and responsive to business requirements.  </w:t>
            </w:r>
            <w:r w:rsidRPr="0095359E">
              <w:rPr>
                <w:rFonts w:cs="Arial"/>
                <w:szCs w:val="18"/>
              </w:rPr>
              <w:t>This is facilitated by better management information, and the establishment of robust and consistent processes.</w:t>
            </w:r>
          </w:p>
          <w:p w:rsidR="00E82A63" w:rsidRDefault="00E82A63" w:rsidP="00E82A63">
            <w:pPr>
              <w:numPr>
                <w:ilvl w:val="0"/>
                <w:numId w:val="2"/>
              </w:numPr>
              <w:tabs>
                <w:tab w:val="left" w:pos="3402"/>
              </w:tabs>
              <w:jc w:val="left"/>
              <w:rPr>
                <w:rFonts w:cs="Arial"/>
                <w:szCs w:val="18"/>
              </w:rPr>
            </w:pPr>
            <w:r>
              <w:rPr>
                <w:rFonts w:cs="Arial"/>
                <w:szCs w:val="18"/>
              </w:rPr>
              <w:t>Manage a team of 5 business managers at the prison sites</w:t>
            </w:r>
          </w:p>
          <w:p w:rsidR="00E82A63" w:rsidRPr="008542AD" w:rsidRDefault="00E82A63" w:rsidP="00E82A63">
            <w:pPr>
              <w:numPr>
                <w:ilvl w:val="0"/>
                <w:numId w:val="2"/>
              </w:numPr>
              <w:tabs>
                <w:tab w:val="left" w:pos="3402"/>
              </w:tabs>
              <w:jc w:val="left"/>
              <w:rPr>
                <w:rFonts w:cs="Arial"/>
                <w:szCs w:val="18"/>
              </w:rPr>
            </w:pPr>
            <w:r w:rsidRPr="008542AD">
              <w:rPr>
                <w:rFonts w:cs="Arial"/>
                <w:szCs w:val="18"/>
              </w:rPr>
              <w:t>As a senior and experienced member of the team, provide leadership and coaching to other members of the team.</w:t>
            </w:r>
          </w:p>
          <w:p w:rsidR="00E82A63" w:rsidRPr="008542AD" w:rsidRDefault="00E82A63" w:rsidP="00E82A63">
            <w:pPr>
              <w:numPr>
                <w:ilvl w:val="0"/>
                <w:numId w:val="2"/>
              </w:numPr>
              <w:tabs>
                <w:tab w:val="left" w:pos="3402"/>
              </w:tabs>
              <w:jc w:val="left"/>
              <w:rPr>
                <w:rFonts w:cs="Arial"/>
                <w:szCs w:val="18"/>
              </w:rPr>
            </w:pPr>
            <w:r w:rsidRPr="008542AD">
              <w:rPr>
                <w:rFonts w:cs="Arial"/>
                <w:szCs w:val="18"/>
              </w:rPr>
              <w:t xml:space="preserve">Contribute to and influence the broader business and finance priorities across the </w:t>
            </w:r>
            <w:r w:rsidR="00AE3117">
              <w:rPr>
                <w:rFonts w:cs="Arial"/>
                <w:szCs w:val="18"/>
              </w:rPr>
              <w:t>custody</w:t>
            </w:r>
            <w:r w:rsidRPr="008542AD">
              <w:rPr>
                <w:rFonts w:cs="Arial"/>
                <w:szCs w:val="18"/>
              </w:rPr>
              <w:t xml:space="preserve"> </w:t>
            </w:r>
            <w:r w:rsidR="00AE3117">
              <w:rPr>
                <w:rFonts w:cs="Arial"/>
                <w:szCs w:val="18"/>
              </w:rPr>
              <w:t>division</w:t>
            </w:r>
          </w:p>
          <w:p w:rsidR="0095359E" w:rsidRDefault="00E82A63" w:rsidP="0095359E">
            <w:pPr>
              <w:numPr>
                <w:ilvl w:val="0"/>
                <w:numId w:val="2"/>
              </w:numPr>
              <w:tabs>
                <w:tab w:val="left" w:pos="3402"/>
              </w:tabs>
              <w:jc w:val="left"/>
              <w:rPr>
                <w:rFonts w:cs="Arial"/>
                <w:szCs w:val="18"/>
              </w:rPr>
            </w:pPr>
            <w:r w:rsidRPr="008542AD">
              <w:rPr>
                <w:rFonts w:cs="Arial"/>
                <w:szCs w:val="18"/>
              </w:rPr>
              <w:t>Work on bids along with business development team and support on financial management</w:t>
            </w:r>
            <w:r w:rsidR="0095359E">
              <w:rPr>
                <w:rFonts w:cs="Arial"/>
                <w:szCs w:val="18"/>
              </w:rPr>
              <w:t xml:space="preserve"> </w:t>
            </w:r>
          </w:p>
          <w:p w:rsidR="0095359E" w:rsidRDefault="0095359E" w:rsidP="0095359E">
            <w:pPr>
              <w:numPr>
                <w:ilvl w:val="0"/>
                <w:numId w:val="2"/>
              </w:numPr>
              <w:tabs>
                <w:tab w:val="left" w:pos="3402"/>
              </w:tabs>
              <w:jc w:val="left"/>
              <w:rPr>
                <w:rFonts w:cs="Arial"/>
                <w:szCs w:val="18"/>
              </w:rPr>
            </w:pPr>
            <w:r>
              <w:rPr>
                <w:rFonts w:cs="Arial"/>
                <w:szCs w:val="18"/>
              </w:rPr>
              <w:t>Support ad hoc projects and as required</w:t>
            </w:r>
          </w:p>
          <w:p w:rsidR="00745A24" w:rsidRPr="00581C55" w:rsidRDefault="00745A24" w:rsidP="0095359E">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95359E">
        <w:trPr>
          <w:trHeight w:val="232"/>
        </w:trPr>
        <w:tc>
          <w:tcPr>
            <w:tcW w:w="1008" w:type="dxa"/>
            <w:vMerge w:val="restart"/>
            <w:tcBorders>
              <w:top w:val="dotted" w:sz="2" w:space="0" w:color="auto"/>
              <w:left w:val="single" w:sz="2" w:space="0" w:color="auto"/>
              <w:right w:val="nil"/>
            </w:tcBorders>
            <w:vAlign w:val="center"/>
          </w:tcPr>
          <w:p w:rsidR="00366A73" w:rsidRPr="007C0E94" w:rsidRDefault="001039B1" w:rsidP="00161F93">
            <w:pPr>
              <w:rPr>
                <w:sz w:val="18"/>
                <w:szCs w:val="18"/>
              </w:rPr>
            </w:pPr>
            <w:r>
              <w:rPr>
                <w:sz w:val="18"/>
                <w:szCs w:val="18"/>
              </w:rPr>
              <w:t>Revenue FY16</w:t>
            </w:r>
            <w:r w:rsidR="00366A73"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366A73" w:rsidRPr="007C0E94" w:rsidRDefault="00AE3117" w:rsidP="001039B1">
            <w:pPr>
              <w:rPr>
                <w:sz w:val="18"/>
                <w:szCs w:val="18"/>
              </w:rPr>
            </w:pPr>
            <w:r>
              <w:rPr>
                <w:sz w:val="18"/>
                <w:szCs w:val="18"/>
              </w:rPr>
              <w:t>€1</w:t>
            </w:r>
            <w:r w:rsidR="00E4127F">
              <w:rPr>
                <w:sz w:val="18"/>
                <w:szCs w:val="18"/>
              </w:rPr>
              <w:t>75</w:t>
            </w:r>
            <w:r w:rsidR="001039B1">
              <w:rPr>
                <w:sz w:val="18"/>
                <w:szCs w:val="18"/>
              </w:rPr>
              <w:t>m</w:t>
            </w:r>
          </w:p>
        </w:tc>
        <w:tc>
          <w:tcPr>
            <w:tcW w:w="1809"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601"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51"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92"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76"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85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28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F1ECA" w:rsidP="00161F93">
            <w:pPr>
              <w:rPr>
                <w:sz w:val="18"/>
                <w:szCs w:val="18"/>
              </w:rPr>
            </w:pPr>
            <w:r>
              <w:rPr>
                <w:sz w:val="18"/>
                <w:szCs w:val="18"/>
              </w:rPr>
              <w:t>2,4</w:t>
            </w:r>
            <w:r w:rsidR="001039B1">
              <w:rPr>
                <w:sz w:val="18"/>
                <w:szCs w:val="18"/>
              </w:rPr>
              <w:t>00</w:t>
            </w:r>
          </w:p>
        </w:tc>
      </w:tr>
      <w:tr w:rsidR="00366A73" w:rsidRPr="007C0E94" w:rsidTr="0095359E">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601" w:type="dxa"/>
            <w:tcBorders>
              <w:top w:val="dotted" w:sz="4" w:space="0" w:color="auto"/>
              <w:left w:val="nil"/>
              <w:bottom w:val="dotted" w:sz="4" w:space="0" w:color="auto"/>
              <w:right w:val="dotted" w:sz="4" w:space="0" w:color="auto"/>
            </w:tcBorders>
            <w:vAlign w:val="center"/>
          </w:tcPr>
          <w:p w:rsidR="00366A73" w:rsidRPr="007C0E94" w:rsidRDefault="0095359E" w:rsidP="00161F93">
            <w:pPr>
              <w:rPr>
                <w:sz w:val="18"/>
                <w:szCs w:val="18"/>
              </w:rPr>
            </w:pPr>
            <w:r>
              <w:rPr>
                <w:sz w:val="18"/>
                <w:szCs w:val="18"/>
              </w:rPr>
              <w:t>10</w:t>
            </w:r>
            <w:r w:rsidR="00A11644">
              <w:rPr>
                <w:sz w:val="18"/>
                <w:szCs w:val="18"/>
              </w:rPr>
              <w:t>%</w:t>
            </w:r>
          </w:p>
        </w:tc>
        <w:tc>
          <w:tcPr>
            <w:tcW w:w="851" w:type="dxa"/>
            <w:vMerge/>
            <w:tcBorders>
              <w:left w:val="dotted" w:sz="4" w:space="0" w:color="auto"/>
              <w:right w:val="nil"/>
            </w:tcBorders>
            <w:vAlign w:val="center"/>
          </w:tcPr>
          <w:p w:rsidR="00366A73" w:rsidRPr="007C0E94" w:rsidRDefault="00366A73" w:rsidP="00161F93">
            <w:pPr>
              <w:rPr>
                <w:sz w:val="18"/>
                <w:szCs w:val="18"/>
              </w:rPr>
            </w:pPr>
          </w:p>
        </w:tc>
        <w:tc>
          <w:tcPr>
            <w:tcW w:w="992" w:type="dxa"/>
            <w:vMerge/>
            <w:tcBorders>
              <w:left w:val="nil"/>
              <w:right w:val="nil"/>
            </w:tcBorders>
            <w:vAlign w:val="center"/>
          </w:tcPr>
          <w:p w:rsidR="00366A73" w:rsidRPr="007C0E94" w:rsidRDefault="00366A73" w:rsidP="00161F93">
            <w:pPr>
              <w:rPr>
                <w:sz w:val="18"/>
                <w:szCs w:val="18"/>
              </w:rPr>
            </w:pPr>
          </w:p>
        </w:tc>
        <w:tc>
          <w:tcPr>
            <w:tcW w:w="1276"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85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28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95359E">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601"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51" w:type="dxa"/>
            <w:vMerge/>
            <w:tcBorders>
              <w:left w:val="dotted" w:sz="4" w:space="0" w:color="auto"/>
              <w:right w:val="nil"/>
            </w:tcBorders>
            <w:vAlign w:val="center"/>
          </w:tcPr>
          <w:p w:rsidR="00366A73" w:rsidRPr="007C0E94" w:rsidRDefault="00366A73" w:rsidP="00161F93">
            <w:pPr>
              <w:rPr>
                <w:sz w:val="18"/>
                <w:szCs w:val="18"/>
              </w:rPr>
            </w:pPr>
          </w:p>
        </w:tc>
        <w:tc>
          <w:tcPr>
            <w:tcW w:w="992" w:type="dxa"/>
            <w:vMerge/>
            <w:tcBorders>
              <w:left w:val="nil"/>
              <w:right w:val="nil"/>
            </w:tcBorders>
            <w:vAlign w:val="center"/>
          </w:tcPr>
          <w:p w:rsidR="00366A73" w:rsidRPr="007C0E94" w:rsidRDefault="00366A73" w:rsidP="00161F93">
            <w:pPr>
              <w:rPr>
                <w:sz w:val="18"/>
                <w:szCs w:val="18"/>
              </w:rPr>
            </w:pPr>
          </w:p>
        </w:tc>
        <w:tc>
          <w:tcPr>
            <w:tcW w:w="1276"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85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28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95359E">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601"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51"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2" w:type="dxa"/>
            <w:vMerge/>
            <w:tcBorders>
              <w:left w:val="nil"/>
              <w:bottom w:val="dotted" w:sz="4" w:space="0" w:color="auto"/>
              <w:right w:val="nil"/>
            </w:tcBorders>
            <w:vAlign w:val="center"/>
          </w:tcPr>
          <w:p w:rsidR="00366A73" w:rsidRPr="007C0E94" w:rsidRDefault="00366A73" w:rsidP="00161F93">
            <w:pPr>
              <w:rPr>
                <w:sz w:val="18"/>
                <w:szCs w:val="18"/>
              </w:rPr>
            </w:pPr>
          </w:p>
        </w:tc>
        <w:tc>
          <w:tcPr>
            <w:tcW w:w="1276"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85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28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2857619" wp14:editId="551042B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5761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684298A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1039B1" w:rsidP="00161F93">
            <w:pPr>
              <w:pStyle w:val="titregris"/>
              <w:framePr w:hSpace="0" w:wrap="auto" w:vAnchor="margin" w:hAnchor="text" w:xAlign="left" w:yAlign="inline"/>
              <w:rPr>
                <w:b w:val="0"/>
              </w:rPr>
            </w:pPr>
            <w:r w:rsidRPr="001039B1">
              <w:rPr>
                <w:noProof/>
                <w:color w:val="FF0000"/>
                <w:lang w:val="en-GB" w:eastAsia="en-GB"/>
              </w:rPr>
              <mc:AlternateContent>
                <mc:Choice Requires="wps">
                  <w:drawing>
                    <wp:anchor distT="0" distB="0" distL="114300" distR="114300" simplePos="0" relativeHeight="251675648" behindDoc="0" locked="0" layoutInCell="1" allowOverlap="1" wp14:anchorId="6BDB878C" wp14:editId="5FEBF161">
                      <wp:simplePos x="0" y="0"/>
                      <wp:positionH relativeFrom="column">
                        <wp:posOffset>1997710</wp:posOffset>
                      </wp:positionH>
                      <wp:positionV relativeFrom="paragraph">
                        <wp:posOffset>827405</wp:posOffset>
                      </wp:positionV>
                      <wp:extent cx="2108200" cy="345440"/>
                      <wp:effectExtent l="0" t="0" r="635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345440"/>
                              </a:xfrm>
                              <a:prstGeom prst="rect">
                                <a:avLst/>
                              </a:prstGeom>
                              <a:solidFill>
                                <a:srgbClr val="002060"/>
                              </a:solidFill>
                              <a:ln>
                                <a:noFill/>
                              </a:ln>
                              <a:extLst/>
                            </wps:spPr>
                            <wps:txbx>
                              <w:txbxContent>
                                <w:p w:rsidR="001039B1" w:rsidRPr="001039B1" w:rsidRDefault="0095359E" w:rsidP="001039B1">
                                  <w:pPr>
                                    <w:jc w:val="center"/>
                                    <w:rPr>
                                      <w:b/>
                                      <w:szCs w:val="20"/>
                                    </w:rPr>
                                  </w:pPr>
                                  <w:r>
                                    <w:rPr>
                                      <w:b/>
                                      <w:szCs w:val="20"/>
                                    </w:rPr>
                                    <w:t>Head of Finance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B878C" id="Text Box 7" o:spid="_x0000_s1028" type="#_x0000_t202" style="position:absolute;left:0;text-align:left;margin-left:157.3pt;margin-top:65.15pt;width:166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" fillcolor="#002060" stroked="f">
                      <v:textbox inset="0,2mm,0,0">
                        <w:txbxContent>
                          <w:p w14:paraId="08F9BE7E" w14:textId="77777777" w:rsidR="001039B1" w:rsidRPr="001039B1" w:rsidRDefault="0095359E" w:rsidP="001039B1">
                            <w:pPr>
                              <w:jc w:val="center"/>
                              <w:rPr>
                                <w:b/>
                                <w:szCs w:val="20"/>
                              </w:rPr>
                            </w:pPr>
                            <w:r>
                              <w:rPr>
                                <w:b/>
                                <w:szCs w:val="20"/>
                              </w:rPr>
                              <w:t>Head of Finance</w:t>
                            </w:r>
                          </w:p>
                        </w:txbxContent>
                      </v:textbox>
                    </v:shape>
                  </w:pict>
                </mc:Fallback>
              </mc:AlternateContent>
            </w:r>
            <w:r w:rsidR="00366A73" w:rsidRPr="00315425">
              <w:rPr>
                <w:color w:val="FF0000"/>
              </w:rPr>
              <w:t>3.</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941F16" w:rsidP="00366A73">
            <w:pPr>
              <w:jc w:val="center"/>
              <w:rPr>
                <w:rFonts w:cs="Arial"/>
                <w:b/>
                <w:sz w:val="6"/>
                <w:szCs w:val="20"/>
              </w:rPr>
            </w:pPr>
            <w:r w:rsidRPr="001039B1">
              <w:rPr>
                <w:noProof/>
                <w:color w:val="FF0000"/>
                <w:lang w:val="en-GB" w:eastAsia="en-GB"/>
              </w:rPr>
              <mc:AlternateContent>
                <mc:Choice Requires="wps">
                  <w:drawing>
                    <wp:anchor distT="0" distB="0" distL="114300" distR="114300" simplePos="0" relativeHeight="251674624" behindDoc="0" locked="0" layoutInCell="1" allowOverlap="1" wp14:anchorId="79980940" wp14:editId="58A7D57C">
                      <wp:simplePos x="0" y="0"/>
                      <wp:positionH relativeFrom="column">
                        <wp:posOffset>1552879</wp:posOffset>
                      </wp:positionH>
                      <wp:positionV relativeFrom="paragraph">
                        <wp:posOffset>6985</wp:posOffset>
                      </wp:positionV>
                      <wp:extent cx="3024505" cy="342900"/>
                      <wp:effectExtent l="0" t="0" r="4445" b="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4505" cy="342900"/>
                              </a:xfrm>
                              <a:prstGeom prst="rect">
                                <a:avLst/>
                              </a:prstGeom>
                              <a:solidFill>
                                <a:srgbClr val="002060"/>
                              </a:solidFill>
                              <a:ln>
                                <a:noFill/>
                              </a:ln>
                              <a:extLst/>
                            </wps:spPr>
                            <wps:txbx>
                              <w:txbxContent>
                                <w:p w:rsidR="001039B1" w:rsidRPr="00BA6289" w:rsidRDefault="00E82A63" w:rsidP="001039B1">
                                  <w:pPr>
                                    <w:jc w:val="center"/>
                                    <w:rPr>
                                      <w:sz w:val="24"/>
                                    </w:rPr>
                                  </w:pPr>
                                  <w:r>
                                    <w:rPr>
                                      <w:sz w:val="24"/>
                                    </w:rPr>
                                    <w:t>Finance Director</w:t>
                                  </w:r>
                                </w:p>
                                <w:p w:rsidR="001039B1" w:rsidRPr="002D3BA3" w:rsidRDefault="001039B1" w:rsidP="001039B1"/>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80940" id="Zone de texte 99" o:spid="_x0000_s1029" type="#_x0000_t202" style="position:absolute;left:0;text-align:left;margin-left:122.25pt;margin-top:.55pt;width:238.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" fillcolor="#002060" stroked="f">
                      <v:textbox inset="0,2mm,0,0">
                        <w:txbxContent>
                          <w:p w14:paraId="5585525C" w14:textId="77777777" w:rsidR="001039B1" w:rsidRPr="00BA6289" w:rsidRDefault="00E82A63" w:rsidP="001039B1">
                            <w:pPr>
                              <w:jc w:val="center"/>
                              <w:rPr>
                                <w:sz w:val="24"/>
                              </w:rPr>
                            </w:pPr>
                            <w:r>
                              <w:rPr>
                                <w:sz w:val="24"/>
                              </w:rPr>
                              <w:t>Finance Director</w:t>
                            </w:r>
                          </w:p>
                          <w:p w14:paraId="76B57B7F" w14:textId="77777777" w:rsidR="001039B1" w:rsidRPr="002D3BA3" w:rsidRDefault="001039B1" w:rsidP="001039B1"/>
                        </w:txbxContent>
                      </v:textbox>
                    </v:shape>
                  </w:pict>
                </mc:Fallback>
              </mc:AlternateContent>
            </w: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1039B1" w:rsidRDefault="001039B1" w:rsidP="00366A73">
            <w:pPr>
              <w:spacing w:after="40"/>
              <w:jc w:val="center"/>
              <w:rPr>
                <w:rFonts w:cs="Arial"/>
                <w:noProof/>
                <w:sz w:val="10"/>
                <w:szCs w:val="20"/>
                <w:lang w:eastAsia="en-US"/>
              </w:rPr>
            </w:pPr>
          </w:p>
          <w:p w:rsidR="001039B1" w:rsidRDefault="00941F16"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39B5CBFE" wp14:editId="0E5F8FDD">
                      <wp:simplePos x="0" y="0"/>
                      <wp:positionH relativeFrom="column">
                        <wp:posOffset>3049270</wp:posOffset>
                      </wp:positionH>
                      <wp:positionV relativeFrom="paragraph">
                        <wp:posOffset>12065</wp:posOffset>
                      </wp:positionV>
                      <wp:extent cx="0" cy="125730"/>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125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D9211"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pt,.95pt" to="240.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" strokecolor="#4579b8 [3044]"/>
                  </w:pict>
                </mc:Fallback>
              </mc:AlternateContent>
            </w:r>
          </w:p>
          <w:p w:rsidR="001039B1" w:rsidRDefault="001039B1" w:rsidP="00366A73">
            <w:pPr>
              <w:spacing w:after="40"/>
              <w:jc w:val="center"/>
              <w:rPr>
                <w:rFonts w:cs="Arial"/>
                <w:noProof/>
                <w:sz w:val="10"/>
                <w:szCs w:val="20"/>
                <w:lang w:eastAsia="en-US"/>
              </w:rPr>
            </w:pPr>
          </w:p>
          <w:p w:rsidR="001039B1" w:rsidRDefault="001039B1" w:rsidP="00366A73">
            <w:pPr>
              <w:spacing w:after="40"/>
              <w:jc w:val="center"/>
              <w:rPr>
                <w:rFonts w:cs="Arial"/>
                <w:noProof/>
                <w:sz w:val="10"/>
                <w:szCs w:val="20"/>
                <w:lang w:eastAsia="en-US"/>
              </w:rPr>
            </w:pPr>
          </w:p>
          <w:p w:rsidR="001039B1" w:rsidRDefault="001039B1"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95359E" w:rsidRDefault="0095359E" w:rsidP="00366A73">
      <w:pPr>
        <w:jc w:val="left"/>
        <w:rPr>
          <w:rFonts w:cs="Arial"/>
        </w:rPr>
      </w:pPr>
    </w:p>
    <w:p w:rsidR="00C555AA" w:rsidRDefault="00C555AA" w:rsidP="00366A73">
      <w:pPr>
        <w:jc w:val="left"/>
        <w:rPr>
          <w:rFonts w:cs="Arial"/>
        </w:rPr>
      </w:pPr>
    </w:p>
    <w:p w:rsidR="00C555AA" w:rsidRDefault="00C555AA" w:rsidP="00366A73">
      <w:pPr>
        <w:jc w:val="left"/>
        <w:rPr>
          <w:rFonts w:cs="Arial"/>
        </w:rPr>
      </w:pPr>
    </w:p>
    <w:p w:rsidR="00C555AA" w:rsidRDefault="00C555AA" w:rsidP="00366A73">
      <w:pPr>
        <w:jc w:val="left"/>
        <w:rPr>
          <w:rFonts w:cs="Arial"/>
        </w:rPr>
      </w:pPr>
    </w:p>
    <w:p w:rsidR="00C555AA" w:rsidRDefault="00C555A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41F16" w:rsidRPr="00F00DFB" w:rsidRDefault="00941F16" w:rsidP="00941F16">
            <w:pPr>
              <w:numPr>
                <w:ilvl w:val="0"/>
                <w:numId w:val="3"/>
              </w:numPr>
              <w:spacing w:before="40"/>
              <w:jc w:val="left"/>
              <w:rPr>
                <w:rFonts w:cs="Arial"/>
                <w:bCs/>
                <w:color w:val="000000" w:themeColor="text1"/>
                <w:szCs w:val="20"/>
                <w:lang w:val="en-GB"/>
              </w:rPr>
            </w:pPr>
            <w:r w:rsidRPr="00941F16">
              <w:rPr>
                <w:rFonts w:cs="Arial"/>
                <w:b/>
                <w:bCs/>
                <w:color w:val="000000" w:themeColor="text1"/>
                <w:szCs w:val="20"/>
                <w:lang w:val="en-GB"/>
              </w:rPr>
              <w:t>Influencing</w:t>
            </w:r>
            <w:r w:rsidRPr="00F00DFB">
              <w:rPr>
                <w:rFonts w:cs="Arial"/>
                <w:bCs/>
                <w:color w:val="000000" w:themeColor="text1"/>
                <w:szCs w:val="20"/>
                <w:lang w:val="en-GB"/>
              </w:rPr>
              <w:t xml:space="preserve"> key stakeholders </w:t>
            </w:r>
            <w:r>
              <w:rPr>
                <w:rFonts w:cs="Arial"/>
                <w:bCs/>
                <w:color w:val="000000" w:themeColor="text1"/>
                <w:szCs w:val="20"/>
                <w:lang w:val="en-GB"/>
              </w:rPr>
              <w:t xml:space="preserve">on recommendations for business changes </w:t>
            </w:r>
            <w:r w:rsidRPr="00F00DFB">
              <w:rPr>
                <w:rFonts w:cs="Arial"/>
                <w:bCs/>
                <w:color w:val="000000" w:themeColor="text1"/>
                <w:szCs w:val="20"/>
                <w:lang w:val="en-GB"/>
              </w:rPr>
              <w:t xml:space="preserve">to ensure the CRC(s) transition to new operating model </w:t>
            </w:r>
            <w:r w:rsidR="00E4127F">
              <w:rPr>
                <w:rFonts w:cs="Arial"/>
                <w:bCs/>
                <w:color w:val="000000" w:themeColor="text1"/>
                <w:szCs w:val="20"/>
                <w:lang w:val="en-GB"/>
              </w:rPr>
              <w:t xml:space="preserve">and the Custodial operating model </w:t>
            </w:r>
            <w:r w:rsidRPr="00F00DFB">
              <w:rPr>
                <w:rFonts w:cs="Arial"/>
                <w:bCs/>
                <w:color w:val="000000" w:themeColor="text1"/>
                <w:szCs w:val="20"/>
                <w:lang w:val="en-GB"/>
              </w:rPr>
              <w:t>meets current and future business requirements.</w:t>
            </w:r>
          </w:p>
          <w:p w:rsidR="00745A24" w:rsidRPr="00745A24" w:rsidRDefault="00941F16" w:rsidP="00EA4C16">
            <w:pPr>
              <w:numPr>
                <w:ilvl w:val="0"/>
                <w:numId w:val="3"/>
              </w:numPr>
              <w:spacing w:before="40" w:after="40"/>
              <w:jc w:val="left"/>
              <w:rPr>
                <w:rFonts w:cs="Arial"/>
                <w:color w:val="FF0000"/>
                <w:szCs w:val="20"/>
              </w:rPr>
            </w:pPr>
            <w:r>
              <w:rPr>
                <w:rFonts w:cs="Arial"/>
                <w:color w:val="000000" w:themeColor="text1"/>
                <w:szCs w:val="20"/>
              </w:rPr>
              <w:t xml:space="preserve">Translating </w:t>
            </w:r>
            <w:r w:rsidRPr="00941F16">
              <w:rPr>
                <w:rFonts w:cs="Arial"/>
                <w:b/>
                <w:color w:val="000000" w:themeColor="text1"/>
                <w:szCs w:val="20"/>
              </w:rPr>
              <w:t>complex commercial and financial models</w:t>
            </w:r>
            <w:r>
              <w:rPr>
                <w:rFonts w:cs="Arial"/>
                <w:color w:val="000000" w:themeColor="text1"/>
                <w:szCs w:val="20"/>
              </w:rPr>
              <w:t xml:space="preserve"> into clear and concise analysis, with recommendations.</w:t>
            </w:r>
          </w:p>
          <w:p w:rsidR="00745A24" w:rsidRPr="00941F16" w:rsidRDefault="00941F16" w:rsidP="00EA4C16">
            <w:pPr>
              <w:numPr>
                <w:ilvl w:val="0"/>
                <w:numId w:val="3"/>
              </w:numPr>
              <w:spacing w:before="40" w:after="40"/>
              <w:jc w:val="left"/>
              <w:rPr>
                <w:rFonts w:cs="Arial"/>
                <w:color w:val="FF0000"/>
                <w:szCs w:val="20"/>
              </w:rPr>
            </w:pPr>
            <w:r>
              <w:rPr>
                <w:rFonts w:cs="Arial"/>
                <w:color w:val="000000" w:themeColor="text1"/>
                <w:szCs w:val="20"/>
              </w:rPr>
              <w:t>Managing conflicting priorities with short deadlines and delivering consistently high quality business insight.</w:t>
            </w:r>
          </w:p>
          <w:p w:rsidR="00941F16" w:rsidRPr="00C4695A" w:rsidRDefault="00941F16" w:rsidP="00CE34C7">
            <w:pPr>
              <w:numPr>
                <w:ilvl w:val="0"/>
                <w:numId w:val="3"/>
              </w:numPr>
              <w:spacing w:before="40" w:after="40"/>
              <w:jc w:val="left"/>
              <w:rPr>
                <w:rFonts w:cs="Arial"/>
                <w:color w:val="FF0000"/>
                <w:szCs w:val="20"/>
              </w:rPr>
            </w:pPr>
            <w:r w:rsidRPr="00CE34C7">
              <w:rPr>
                <w:rFonts w:cs="Arial"/>
                <w:b/>
                <w:color w:val="000000" w:themeColor="text1"/>
                <w:szCs w:val="20"/>
                <w:lang w:val="en-GB"/>
              </w:rPr>
              <w:t xml:space="preserve">Building </w:t>
            </w:r>
            <w:r w:rsidR="00CE34C7">
              <w:rPr>
                <w:rFonts w:cs="Arial"/>
                <w:color w:val="000000" w:themeColor="text1"/>
                <w:szCs w:val="20"/>
                <w:lang w:val="en-GB"/>
              </w:rPr>
              <w:t>successful and productive working relationships in a</w:t>
            </w:r>
            <w:r>
              <w:rPr>
                <w:rFonts w:cs="Arial"/>
                <w:color w:val="000000" w:themeColor="text1"/>
                <w:szCs w:val="20"/>
                <w:lang w:val="en-GB"/>
              </w:rPr>
              <w:t xml:space="preserve"> matrix organisation structure to deliver results in a multi stakeholder and consultative culture</w:t>
            </w:r>
            <w:r w:rsidR="00CE34C7">
              <w:rPr>
                <w:rFonts w:cs="Arial"/>
                <w:color w:val="000000" w:themeColor="text1"/>
                <w:szCs w:val="20"/>
                <w:lang w:val="en-GB"/>
              </w:rPr>
              <w:t>.</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AE3117" w:rsidRPr="00A11644" w:rsidRDefault="00AE3117" w:rsidP="00A11644">
            <w:pPr>
              <w:pStyle w:val="ListParagraph"/>
              <w:numPr>
                <w:ilvl w:val="0"/>
                <w:numId w:val="21"/>
              </w:numPr>
              <w:spacing w:before="120" w:after="120"/>
              <w:ind w:right="629"/>
              <w:rPr>
                <w:rFonts w:cs="Arial"/>
                <w:szCs w:val="18"/>
              </w:rPr>
            </w:pPr>
            <w:r w:rsidRPr="00A11644">
              <w:rPr>
                <w:rFonts w:cs="Arial"/>
                <w:szCs w:val="18"/>
              </w:rPr>
              <w:t xml:space="preserve">Create analyses based on business drivers to support decision making for established estate, mobilisations, and bids.  Embed these so that they are part of our core finance processes.  </w:t>
            </w:r>
          </w:p>
          <w:p w:rsidR="00AE3117" w:rsidRPr="00A11644" w:rsidRDefault="00AE3117" w:rsidP="00A11644">
            <w:pPr>
              <w:pStyle w:val="ListParagraph"/>
              <w:numPr>
                <w:ilvl w:val="0"/>
                <w:numId w:val="21"/>
              </w:numPr>
              <w:spacing w:before="120" w:after="120"/>
              <w:ind w:right="629"/>
              <w:rPr>
                <w:rFonts w:cs="Arial"/>
                <w:szCs w:val="18"/>
              </w:rPr>
            </w:pPr>
            <w:r w:rsidRPr="00A11644">
              <w:rPr>
                <w:rFonts w:cs="Arial"/>
                <w:szCs w:val="18"/>
              </w:rPr>
              <w:t>Lead commercial side of medium term planning, budgeting and forecasting processes, including setting assumptions, scenario modelling, supporting business decisions, (financial controller responsible for financials, and accounting integrity).  Implement clear processes, so that all stakeholders understand their contribution and how / when it fits to the broader goals.</w:t>
            </w:r>
          </w:p>
          <w:p w:rsidR="00AE3117" w:rsidRPr="00A11644" w:rsidRDefault="00AE3117" w:rsidP="00A11644">
            <w:pPr>
              <w:pStyle w:val="ListParagraph"/>
              <w:numPr>
                <w:ilvl w:val="0"/>
                <w:numId w:val="21"/>
              </w:numPr>
              <w:spacing w:before="120" w:after="120"/>
              <w:ind w:right="629"/>
              <w:rPr>
                <w:rFonts w:cs="Arial"/>
                <w:szCs w:val="18"/>
              </w:rPr>
            </w:pPr>
            <w:r w:rsidRPr="00A11644">
              <w:rPr>
                <w:rFonts w:cs="Arial"/>
                <w:szCs w:val="18"/>
              </w:rPr>
              <w:t>Lead and shape activity to deliver a more consistent and robust approach to financial management and financial support to decisions across the prisons,</w:t>
            </w:r>
            <w:r w:rsidR="00C555AA">
              <w:rPr>
                <w:rFonts w:cs="Arial"/>
                <w:szCs w:val="18"/>
              </w:rPr>
              <w:t xml:space="preserve"> taking examples of good practic</w:t>
            </w:r>
            <w:r w:rsidRPr="00A11644">
              <w:rPr>
                <w:rFonts w:cs="Arial"/>
                <w:szCs w:val="18"/>
              </w:rPr>
              <w:t>e from each prison and rolling out across the estate, with clear and established consistent processes.  This will include proactive management of the balance sheet accounts relevant to each prison</w:t>
            </w:r>
            <w:r w:rsidR="00C555AA">
              <w:rPr>
                <w:rFonts w:cs="Arial"/>
                <w:szCs w:val="18"/>
              </w:rPr>
              <w:t>.</w:t>
            </w:r>
          </w:p>
          <w:p w:rsidR="00AE3117" w:rsidRPr="00A11644" w:rsidRDefault="00AE3117" w:rsidP="00A11644">
            <w:pPr>
              <w:pStyle w:val="ListParagraph"/>
              <w:numPr>
                <w:ilvl w:val="0"/>
                <w:numId w:val="21"/>
              </w:numPr>
              <w:spacing w:before="120" w:after="120"/>
              <w:ind w:right="629"/>
              <w:rPr>
                <w:rFonts w:cs="Arial"/>
                <w:szCs w:val="18"/>
              </w:rPr>
            </w:pPr>
            <w:r w:rsidRPr="00A11644">
              <w:rPr>
                <w:rFonts w:cs="Arial"/>
                <w:szCs w:val="18"/>
              </w:rPr>
              <w:t>Design and implement processes to provide additional levels of assurance and visibility so that senior management and the exec are clear regarding pending contract changes and financial implications</w:t>
            </w:r>
            <w:r w:rsidR="00C555AA">
              <w:rPr>
                <w:rFonts w:cs="Arial"/>
                <w:szCs w:val="18"/>
              </w:rPr>
              <w:t>.</w:t>
            </w:r>
          </w:p>
          <w:p w:rsidR="00AE3117" w:rsidRPr="00A11644" w:rsidRDefault="00AE3117" w:rsidP="00A11644">
            <w:pPr>
              <w:pStyle w:val="ListParagraph"/>
              <w:numPr>
                <w:ilvl w:val="0"/>
                <w:numId w:val="21"/>
              </w:numPr>
              <w:spacing w:before="120" w:after="120"/>
              <w:ind w:right="629"/>
              <w:rPr>
                <w:rFonts w:cs="Arial"/>
                <w:szCs w:val="18"/>
              </w:rPr>
            </w:pPr>
            <w:r w:rsidRPr="00A11644">
              <w:rPr>
                <w:rFonts w:cs="Arial"/>
                <w:szCs w:val="18"/>
              </w:rPr>
              <w:t>Develop business cases, review papers, presentations, and other papers, (lead / support as appropriate), e.g. financial presentations to OBM (monthly meeting of prison directors), post investment revie</w:t>
            </w:r>
            <w:r w:rsidR="00C555AA">
              <w:rPr>
                <w:rFonts w:cs="Arial"/>
                <w:szCs w:val="18"/>
              </w:rPr>
              <w:t>ws, as required to support SJS Finance Director and SJS E</w:t>
            </w:r>
            <w:r w:rsidRPr="00A11644">
              <w:rPr>
                <w:rFonts w:cs="Arial"/>
                <w:szCs w:val="18"/>
              </w:rPr>
              <w:t>xec</w:t>
            </w:r>
            <w:r w:rsidR="00C555AA">
              <w:rPr>
                <w:rFonts w:cs="Arial"/>
                <w:szCs w:val="18"/>
              </w:rPr>
              <w:t>utive.</w:t>
            </w:r>
          </w:p>
          <w:p w:rsidR="00AE3117" w:rsidRPr="00A11644" w:rsidRDefault="00AE3117" w:rsidP="00A11644">
            <w:pPr>
              <w:pStyle w:val="ListParagraph"/>
              <w:numPr>
                <w:ilvl w:val="0"/>
                <w:numId w:val="21"/>
              </w:numPr>
              <w:spacing w:before="120" w:after="120"/>
              <w:ind w:right="629"/>
              <w:rPr>
                <w:rFonts w:cs="Arial"/>
                <w:szCs w:val="18"/>
              </w:rPr>
            </w:pPr>
            <w:r w:rsidRPr="00A11644">
              <w:rPr>
                <w:rFonts w:cs="Arial"/>
                <w:szCs w:val="18"/>
              </w:rPr>
              <w:t>Lead, coach and manage finance teams reporting to you. Provide development for team members and act as a role model in leadership and influencing skills</w:t>
            </w:r>
            <w:r w:rsidR="00C555AA">
              <w:rPr>
                <w:rFonts w:cs="Arial"/>
                <w:szCs w:val="18"/>
              </w:rPr>
              <w:t>.</w:t>
            </w:r>
          </w:p>
          <w:p w:rsidR="00AE3117" w:rsidRPr="00A11644" w:rsidRDefault="00AE3117" w:rsidP="00A11644">
            <w:pPr>
              <w:pStyle w:val="ListParagraph"/>
              <w:numPr>
                <w:ilvl w:val="0"/>
                <w:numId w:val="21"/>
              </w:numPr>
              <w:spacing w:before="120" w:after="120"/>
              <w:ind w:right="629"/>
              <w:rPr>
                <w:rFonts w:cs="Arial"/>
                <w:szCs w:val="18"/>
              </w:rPr>
            </w:pPr>
            <w:r w:rsidRPr="00A11644">
              <w:rPr>
                <w:rFonts w:cs="Arial"/>
                <w:szCs w:val="18"/>
              </w:rPr>
              <w:t>Ensure that a link between B</w:t>
            </w:r>
            <w:r w:rsidR="00C555AA">
              <w:rPr>
                <w:rFonts w:cs="Arial"/>
                <w:szCs w:val="18"/>
              </w:rPr>
              <w:t xml:space="preserve">usiness </w:t>
            </w:r>
            <w:r w:rsidRPr="00A11644">
              <w:rPr>
                <w:rFonts w:cs="Arial"/>
                <w:szCs w:val="18"/>
              </w:rPr>
              <w:t>D</w:t>
            </w:r>
            <w:r w:rsidR="00C555AA">
              <w:rPr>
                <w:rFonts w:cs="Arial"/>
                <w:szCs w:val="18"/>
              </w:rPr>
              <w:t>evelopment, Operational and F</w:t>
            </w:r>
            <w:r w:rsidRPr="00A11644">
              <w:rPr>
                <w:rFonts w:cs="Arial"/>
                <w:szCs w:val="18"/>
              </w:rPr>
              <w:t>inance teams is maintained.</w:t>
            </w:r>
          </w:p>
          <w:p w:rsidR="00424476" w:rsidRPr="00A11644" w:rsidRDefault="00AE3117" w:rsidP="00A11644">
            <w:pPr>
              <w:pStyle w:val="ListParagraph"/>
              <w:numPr>
                <w:ilvl w:val="0"/>
                <w:numId w:val="21"/>
              </w:numPr>
              <w:spacing w:before="120" w:after="120"/>
              <w:ind w:right="629"/>
              <w:rPr>
                <w:rFonts w:cs="Arial"/>
                <w:color w:val="000000" w:themeColor="text1"/>
                <w:szCs w:val="20"/>
                <w:lang w:val="en-GB"/>
              </w:rPr>
            </w:pPr>
            <w:r w:rsidRPr="00A11644">
              <w:rPr>
                <w:rFonts w:cs="Arial"/>
                <w:szCs w:val="18"/>
              </w:rPr>
              <w:t xml:space="preserve">Supporting the SJS FD in strategy setting, decision </w:t>
            </w:r>
            <w:r w:rsidR="00C555AA" w:rsidRPr="00A11644">
              <w:rPr>
                <w:rFonts w:cs="Arial"/>
                <w:szCs w:val="18"/>
              </w:rPr>
              <w:t>making,</w:t>
            </w:r>
            <w:r w:rsidRPr="00A11644">
              <w:rPr>
                <w:rFonts w:cs="Arial"/>
                <w:szCs w:val="18"/>
              </w:rPr>
              <w:t xml:space="preserve"> and all matters related to the commercial side of our business development approach</w:t>
            </w:r>
            <w:r w:rsidR="00C555AA">
              <w:rPr>
                <w:rFonts w:cs="Arial"/>
                <w:szCs w:val="18"/>
              </w:rPr>
              <w:t>.</w:t>
            </w:r>
          </w:p>
        </w:tc>
      </w:tr>
    </w:tbl>
    <w:p w:rsidR="00366A73" w:rsidRPr="00A11644" w:rsidRDefault="00366A73" w:rsidP="00A11644">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E3117" w:rsidRPr="00A11644" w:rsidRDefault="00AE3117" w:rsidP="00A11644">
            <w:pPr>
              <w:pStyle w:val="ListParagraph"/>
              <w:numPr>
                <w:ilvl w:val="0"/>
                <w:numId w:val="22"/>
              </w:numPr>
              <w:spacing w:before="40"/>
              <w:jc w:val="left"/>
              <w:rPr>
                <w:rFonts w:cs="Arial"/>
                <w:color w:val="000000" w:themeColor="text1"/>
                <w:szCs w:val="20"/>
                <w:lang w:val="en-GB"/>
              </w:rPr>
            </w:pPr>
            <w:r w:rsidRPr="00A11644">
              <w:rPr>
                <w:rFonts w:cs="Arial"/>
                <w:color w:val="000000" w:themeColor="text1"/>
                <w:szCs w:val="20"/>
                <w:lang w:val="en-GB"/>
              </w:rPr>
              <w:t>Exceed delivery of financial, performance, and operational targets</w:t>
            </w:r>
          </w:p>
          <w:p w:rsidR="00AE3117" w:rsidRPr="00A11644" w:rsidRDefault="00AE3117" w:rsidP="00A11644">
            <w:pPr>
              <w:pStyle w:val="ListParagraph"/>
              <w:numPr>
                <w:ilvl w:val="0"/>
                <w:numId w:val="22"/>
              </w:numPr>
              <w:spacing w:before="40"/>
              <w:jc w:val="left"/>
              <w:rPr>
                <w:rFonts w:cs="Arial"/>
                <w:color w:val="000000" w:themeColor="text1"/>
                <w:szCs w:val="20"/>
                <w:lang w:val="en-GB"/>
              </w:rPr>
            </w:pPr>
            <w:r w:rsidRPr="00A11644">
              <w:rPr>
                <w:rFonts w:cs="Arial"/>
                <w:color w:val="000000" w:themeColor="text1"/>
                <w:szCs w:val="20"/>
                <w:lang w:val="en-GB"/>
              </w:rPr>
              <w:t>Senior stakeholder expectations are exceeded</w:t>
            </w:r>
          </w:p>
          <w:p w:rsidR="00F00DFB" w:rsidRPr="00A11644" w:rsidRDefault="00AE3117" w:rsidP="00A11644">
            <w:pPr>
              <w:pStyle w:val="ListParagraph"/>
              <w:numPr>
                <w:ilvl w:val="0"/>
                <w:numId w:val="22"/>
              </w:numPr>
              <w:spacing w:before="120" w:after="120"/>
              <w:ind w:right="629"/>
              <w:rPr>
                <w:rFonts w:cs="Arial"/>
                <w:szCs w:val="18"/>
              </w:rPr>
            </w:pPr>
            <w:r w:rsidRPr="00A11644">
              <w:rPr>
                <w:rFonts w:cs="Arial"/>
                <w:color w:val="000000" w:themeColor="text1"/>
                <w:szCs w:val="20"/>
                <w:lang w:val="en-GB"/>
              </w:rPr>
              <w:t>Excellent management information and modelling that is accurate and fit for purpose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00DFB" w:rsidRDefault="00F00DFB" w:rsidP="00A11644">
            <w:pPr>
              <w:pStyle w:val="Puces4"/>
              <w:numPr>
                <w:ilvl w:val="0"/>
                <w:numId w:val="23"/>
              </w:numPr>
            </w:pPr>
            <w:r>
              <w:t>ACCA, CIMA, ICAEW Qualified</w:t>
            </w:r>
          </w:p>
          <w:p w:rsidR="00F00DFB" w:rsidRDefault="00F00DFB" w:rsidP="00A11644">
            <w:pPr>
              <w:pStyle w:val="Puces4"/>
              <w:numPr>
                <w:ilvl w:val="0"/>
                <w:numId w:val="23"/>
              </w:numPr>
            </w:pPr>
            <w:r>
              <w:t>Strong data analytics and modelling skills, coupled with attention to detail</w:t>
            </w:r>
          </w:p>
          <w:p w:rsidR="00F00DFB" w:rsidRDefault="00F00DFB" w:rsidP="00A11644">
            <w:pPr>
              <w:pStyle w:val="Puces4"/>
              <w:numPr>
                <w:ilvl w:val="0"/>
                <w:numId w:val="23"/>
              </w:numPr>
            </w:pPr>
            <w:r>
              <w:t>Good consultation, presentation and documentation skills</w:t>
            </w:r>
          </w:p>
          <w:p w:rsidR="00F00DFB" w:rsidRDefault="00F00DFB" w:rsidP="00A11644">
            <w:pPr>
              <w:pStyle w:val="Puces4"/>
              <w:numPr>
                <w:ilvl w:val="0"/>
                <w:numId w:val="23"/>
              </w:numPr>
            </w:pPr>
            <w:r>
              <w:t>A good understanding of Contract Law and Commercial Trading terms</w:t>
            </w:r>
          </w:p>
          <w:p w:rsidR="00F00DFB" w:rsidRDefault="00F00DFB" w:rsidP="00A11644">
            <w:pPr>
              <w:pStyle w:val="Puces4"/>
              <w:numPr>
                <w:ilvl w:val="0"/>
                <w:numId w:val="23"/>
              </w:numPr>
            </w:pPr>
            <w:r>
              <w:t xml:space="preserve">Strong Financial Management experience in a commercial environment </w:t>
            </w:r>
          </w:p>
          <w:p w:rsidR="00F00DFB" w:rsidRDefault="00F00DFB" w:rsidP="00A11644">
            <w:pPr>
              <w:pStyle w:val="Puces4"/>
              <w:numPr>
                <w:ilvl w:val="0"/>
                <w:numId w:val="23"/>
              </w:numPr>
            </w:pPr>
            <w:r>
              <w:lastRenderedPageBreak/>
              <w:t>Highly organised, flexible and responsive, with ability to deliver under pressure with excellence</w:t>
            </w:r>
          </w:p>
          <w:p w:rsidR="00EA3990" w:rsidRPr="004238D8" w:rsidRDefault="00EA3990" w:rsidP="00F00DFB">
            <w:pPr>
              <w:pStyle w:val="Puces4"/>
              <w:numPr>
                <w:ilvl w:val="0"/>
                <w:numId w:val="0"/>
              </w:numPr>
              <w:ind w:left="720"/>
            </w:pPr>
          </w:p>
        </w:tc>
      </w:tr>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A11644">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1"/>
            </w:tblGrid>
            <w:tr w:rsidR="00F00DFB" w:rsidRPr="00375F11" w:rsidTr="00941F16">
              <w:tc>
                <w:tcPr>
                  <w:tcW w:w="7791" w:type="dxa"/>
                </w:tcPr>
                <w:p w:rsidR="00F00DFB" w:rsidRPr="00375F11" w:rsidRDefault="00F00DFB" w:rsidP="008B5C6F">
                  <w:pPr>
                    <w:pStyle w:val="Puces4"/>
                    <w:framePr w:hSpace="180" w:wrap="around" w:vAnchor="text" w:hAnchor="margin" w:xAlign="center" w:y="192"/>
                    <w:numPr>
                      <w:ilvl w:val="0"/>
                      <w:numId w:val="24"/>
                    </w:numPr>
                    <w:rPr>
                      <w:rFonts w:eastAsia="Times New Roman"/>
                    </w:rPr>
                  </w:pPr>
                  <w:r>
                    <w:rPr>
                      <w:rFonts w:eastAsia="Times New Roman"/>
                    </w:rPr>
                    <w:t>Growth, Client &amp; Customer Satisfaction / Quality of Services provided</w:t>
                  </w:r>
                </w:p>
              </w:tc>
            </w:tr>
            <w:tr w:rsidR="00F00DFB" w:rsidRPr="00375F11" w:rsidTr="00941F16">
              <w:tc>
                <w:tcPr>
                  <w:tcW w:w="7791" w:type="dxa"/>
                </w:tcPr>
                <w:p w:rsidR="00F00DFB" w:rsidRPr="00375F11" w:rsidRDefault="00F00DFB" w:rsidP="008B5C6F">
                  <w:pPr>
                    <w:pStyle w:val="Puces4"/>
                    <w:framePr w:hSpace="180" w:wrap="around" w:vAnchor="text" w:hAnchor="margin" w:xAlign="center" w:y="192"/>
                    <w:numPr>
                      <w:ilvl w:val="0"/>
                      <w:numId w:val="24"/>
                    </w:numPr>
                    <w:rPr>
                      <w:rFonts w:eastAsia="Times New Roman"/>
                    </w:rPr>
                  </w:pPr>
                  <w:r>
                    <w:rPr>
                      <w:rFonts w:eastAsia="Times New Roman"/>
                    </w:rPr>
                    <w:t>Rigorous management of results</w:t>
                  </w:r>
                </w:p>
              </w:tc>
            </w:tr>
            <w:tr w:rsidR="00F00DFB" w:rsidRPr="00375F11" w:rsidTr="00941F16">
              <w:tc>
                <w:tcPr>
                  <w:tcW w:w="7791" w:type="dxa"/>
                </w:tcPr>
                <w:p w:rsidR="00F00DFB" w:rsidRPr="00375F11" w:rsidRDefault="00F00DFB" w:rsidP="008B5C6F">
                  <w:pPr>
                    <w:pStyle w:val="Puces4"/>
                    <w:framePr w:hSpace="180" w:wrap="around" w:vAnchor="text" w:hAnchor="margin" w:xAlign="center" w:y="192"/>
                    <w:numPr>
                      <w:ilvl w:val="0"/>
                      <w:numId w:val="24"/>
                    </w:numPr>
                    <w:rPr>
                      <w:rFonts w:eastAsia="Times New Roman"/>
                    </w:rPr>
                  </w:pPr>
                  <w:r>
                    <w:rPr>
                      <w:rFonts w:eastAsia="Times New Roman"/>
                    </w:rPr>
                    <w:t>Commercial Awareness</w:t>
                  </w:r>
                </w:p>
              </w:tc>
            </w:tr>
            <w:tr w:rsidR="00F00DFB" w:rsidTr="00941F16">
              <w:tc>
                <w:tcPr>
                  <w:tcW w:w="7791" w:type="dxa"/>
                </w:tcPr>
                <w:p w:rsidR="00F00DFB" w:rsidRDefault="00F00DFB" w:rsidP="008B5C6F">
                  <w:pPr>
                    <w:pStyle w:val="Puces4"/>
                    <w:framePr w:hSpace="180" w:wrap="around" w:vAnchor="text" w:hAnchor="margin" w:xAlign="center" w:y="192"/>
                    <w:numPr>
                      <w:ilvl w:val="0"/>
                      <w:numId w:val="24"/>
                    </w:numPr>
                    <w:rPr>
                      <w:rFonts w:eastAsia="Times New Roman"/>
                    </w:rPr>
                  </w:pPr>
                  <w:r>
                    <w:rPr>
                      <w:rFonts w:eastAsia="Times New Roman"/>
                    </w:rPr>
                    <w:t>Leadership &amp; People Management</w:t>
                  </w:r>
                </w:p>
              </w:tc>
            </w:tr>
            <w:tr w:rsidR="00F00DFB" w:rsidTr="00941F16">
              <w:tc>
                <w:tcPr>
                  <w:tcW w:w="7791" w:type="dxa"/>
                </w:tcPr>
                <w:p w:rsidR="00F00DFB" w:rsidRDefault="00F00DFB" w:rsidP="008B5C6F">
                  <w:pPr>
                    <w:pStyle w:val="Puces4"/>
                    <w:framePr w:hSpace="180" w:wrap="around" w:vAnchor="text" w:hAnchor="margin" w:xAlign="center" w:y="192"/>
                    <w:numPr>
                      <w:ilvl w:val="0"/>
                      <w:numId w:val="24"/>
                    </w:numPr>
                    <w:rPr>
                      <w:rFonts w:eastAsia="Times New Roman"/>
                    </w:rPr>
                  </w:pPr>
                  <w:r>
                    <w:rPr>
                      <w:rFonts w:eastAsia="Times New Roman"/>
                    </w:rPr>
                    <w:t>Innovation and Change</w:t>
                  </w:r>
                </w:p>
              </w:tc>
            </w:tr>
            <w:tr w:rsidR="00F00DFB" w:rsidTr="00941F16">
              <w:tc>
                <w:tcPr>
                  <w:tcW w:w="7791" w:type="dxa"/>
                </w:tcPr>
                <w:p w:rsidR="00F00DFB" w:rsidRDefault="00F00DFB" w:rsidP="008B5C6F">
                  <w:pPr>
                    <w:pStyle w:val="Puces4"/>
                    <w:framePr w:hSpace="180" w:wrap="around" w:vAnchor="text" w:hAnchor="margin" w:xAlign="center" w:y="192"/>
                    <w:numPr>
                      <w:ilvl w:val="0"/>
                      <w:numId w:val="24"/>
                    </w:numPr>
                    <w:rPr>
                      <w:rFonts w:eastAsia="Times New Roman"/>
                    </w:rPr>
                  </w:pPr>
                  <w:r>
                    <w:rPr>
                      <w:rFonts w:eastAsia="Times New Roman"/>
                    </w:rPr>
                    <w:t>Business Consulting</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B5C6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555AA" w:rsidP="008B5C6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r w:rsidR="00F00DFB">
                    <w:rPr>
                      <w:rFonts w:cs="Arial"/>
                      <w:color w:val="000000" w:themeColor="text1"/>
                      <w:szCs w:val="20"/>
                      <w:lang w:val="en-GB"/>
                    </w:rPr>
                    <w:t>.0</w:t>
                  </w:r>
                </w:p>
              </w:tc>
              <w:tc>
                <w:tcPr>
                  <w:tcW w:w="2557" w:type="dxa"/>
                </w:tcPr>
                <w:p w:rsidR="00E57078" w:rsidRDefault="00E57078" w:rsidP="008B5C6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C555AA" w:rsidP="008B5C6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29.07.2019</w:t>
                  </w:r>
                </w:p>
              </w:tc>
            </w:tr>
            <w:tr w:rsidR="00E57078" w:rsidTr="00E57078">
              <w:tc>
                <w:tcPr>
                  <w:tcW w:w="2122" w:type="dxa"/>
                </w:tcPr>
                <w:p w:rsidR="00E57078" w:rsidRDefault="00E57078" w:rsidP="008B5C6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8B5C6F">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8B5C6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8B5C6F">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8B5C6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AE3117">
                    <w:rPr>
                      <w:rFonts w:cs="Arial"/>
                      <w:color w:val="000000" w:themeColor="text1"/>
                      <w:szCs w:val="20"/>
                      <w:lang w:val="en-GB"/>
                    </w:rPr>
                    <w:t xml:space="preserve"> </w:t>
                  </w:r>
                </w:p>
              </w:tc>
              <w:tc>
                <w:tcPr>
                  <w:tcW w:w="2557" w:type="dxa"/>
                </w:tcPr>
                <w:p w:rsidR="00086FFE" w:rsidRDefault="00086FFE" w:rsidP="008B5C6F">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6B4642F"/>
    <w:multiLevelType w:val="hybridMultilevel"/>
    <w:tmpl w:val="3DE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C196711"/>
    <w:multiLevelType w:val="hybridMultilevel"/>
    <w:tmpl w:val="992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E3946BC"/>
    <w:multiLevelType w:val="hybridMultilevel"/>
    <w:tmpl w:val="92E02C66"/>
    <w:lvl w:ilvl="0" w:tplc="EAB0000C">
      <w:start w:val="1"/>
      <w:numFmt w:val="bullet"/>
      <w:lvlText w:val=""/>
      <w:lvlJc w:val="left"/>
      <w:pPr>
        <w:ind w:left="1004" w:hanging="360"/>
      </w:pPr>
      <w:rPr>
        <w:rFonts w:ascii="Symbol" w:hAnsi="Symbol" w:hint="default"/>
        <w:color w:val="C0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2B67767"/>
    <w:multiLevelType w:val="hybridMultilevel"/>
    <w:tmpl w:val="E1EA4A14"/>
    <w:lvl w:ilvl="0" w:tplc="49105DFC">
      <w:numFmt w:val="bullet"/>
      <w:lvlText w:val=""/>
      <w:lvlJc w:val="left"/>
      <w:pPr>
        <w:tabs>
          <w:tab w:val="num" w:pos="360"/>
        </w:tabs>
        <w:ind w:left="360" w:hanging="360"/>
      </w:pPr>
      <w:rPr>
        <w:rFonts w:ascii="Symbol" w:hAnsi="Symbol" w:cs="Times New Roman" w:hint="default"/>
        <w:color w:val="99CC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B325C"/>
    <w:multiLevelType w:val="hybridMultilevel"/>
    <w:tmpl w:val="42A89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A222452"/>
    <w:multiLevelType w:val="hybridMultilevel"/>
    <w:tmpl w:val="323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CB4528"/>
    <w:multiLevelType w:val="hybridMultilevel"/>
    <w:tmpl w:val="97B0C1BC"/>
    <w:lvl w:ilvl="0" w:tplc="49105DFC">
      <w:numFmt w:val="bullet"/>
      <w:lvlText w:val=""/>
      <w:lvlJc w:val="left"/>
      <w:pPr>
        <w:tabs>
          <w:tab w:val="num" w:pos="360"/>
        </w:tabs>
        <w:ind w:left="360" w:hanging="360"/>
      </w:pPr>
      <w:rPr>
        <w:rFonts w:ascii="Symbol" w:hAnsi="Symbol" w:cs="Times New Roman" w:hint="default"/>
        <w:color w:val="99CC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E1335"/>
    <w:multiLevelType w:val="hybridMultilevel"/>
    <w:tmpl w:val="0B922B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15"/>
  </w:num>
  <w:num w:numId="3">
    <w:abstractNumId w:val="2"/>
  </w:num>
  <w:num w:numId="4">
    <w:abstractNumId w:val="12"/>
  </w:num>
  <w:num w:numId="5">
    <w:abstractNumId w:val="5"/>
  </w:num>
  <w:num w:numId="6">
    <w:abstractNumId w:val="3"/>
  </w:num>
  <w:num w:numId="7">
    <w:abstractNumId w:val="16"/>
  </w:num>
  <w:num w:numId="8">
    <w:abstractNumId w:val="7"/>
  </w:num>
  <w:num w:numId="9">
    <w:abstractNumId w:val="21"/>
  </w:num>
  <w:num w:numId="10">
    <w:abstractNumId w:val="22"/>
  </w:num>
  <w:num w:numId="11">
    <w:abstractNumId w:val="11"/>
  </w:num>
  <w:num w:numId="12">
    <w:abstractNumId w:val="0"/>
  </w:num>
  <w:num w:numId="13">
    <w:abstractNumId w:val="17"/>
  </w:num>
  <w:num w:numId="14">
    <w:abstractNumId w:val="4"/>
  </w:num>
  <w:num w:numId="15">
    <w:abstractNumId w:val="19"/>
  </w:num>
  <w:num w:numId="16">
    <w:abstractNumId w:val="20"/>
  </w:num>
  <w:num w:numId="17">
    <w:abstractNumId w:val="9"/>
  </w:num>
  <w:num w:numId="18">
    <w:abstractNumId w:val="18"/>
  </w:num>
  <w:num w:numId="19">
    <w:abstractNumId w:val="10"/>
  </w:num>
  <w:num w:numId="20">
    <w:abstractNumId w:val="6"/>
  </w:num>
  <w:num w:numId="21">
    <w:abstractNumId w:val="14"/>
  </w:num>
  <w:num w:numId="22">
    <w:abstractNumId w:val="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39B1"/>
    <w:rsid w:val="00104BDE"/>
    <w:rsid w:val="001102D7"/>
    <w:rsid w:val="001321E0"/>
    <w:rsid w:val="00144E5D"/>
    <w:rsid w:val="001B419A"/>
    <w:rsid w:val="001F1F6A"/>
    <w:rsid w:val="00221D54"/>
    <w:rsid w:val="00293E5D"/>
    <w:rsid w:val="002B1DC6"/>
    <w:rsid w:val="00366A73"/>
    <w:rsid w:val="004238D8"/>
    <w:rsid w:val="00424476"/>
    <w:rsid w:val="004D170A"/>
    <w:rsid w:val="00520545"/>
    <w:rsid w:val="00581C55"/>
    <w:rsid w:val="005E5B63"/>
    <w:rsid w:val="005F08B2"/>
    <w:rsid w:val="00613392"/>
    <w:rsid w:val="00616B0B"/>
    <w:rsid w:val="00646B79"/>
    <w:rsid w:val="00656519"/>
    <w:rsid w:val="00666881"/>
    <w:rsid w:val="00674674"/>
    <w:rsid w:val="006802C0"/>
    <w:rsid w:val="00682212"/>
    <w:rsid w:val="00745A24"/>
    <w:rsid w:val="007F602D"/>
    <w:rsid w:val="008B5C6F"/>
    <w:rsid w:val="008B64DE"/>
    <w:rsid w:val="008D1A2B"/>
    <w:rsid w:val="00941F16"/>
    <w:rsid w:val="0095359E"/>
    <w:rsid w:val="009F1ECA"/>
    <w:rsid w:val="00A11644"/>
    <w:rsid w:val="00A37146"/>
    <w:rsid w:val="00AD1DEC"/>
    <w:rsid w:val="00AE3117"/>
    <w:rsid w:val="00B70457"/>
    <w:rsid w:val="00B81FBD"/>
    <w:rsid w:val="00C109EA"/>
    <w:rsid w:val="00C4467B"/>
    <w:rsid w:val="00C4695A"/>
    <w:rsid w:val="00C555AA"/>
    <w:rsid w:val="00C61430"/>
    <w:rsid w:val="00CC0297"/>
    <w:rsid w:val="00CC2929"/>
    <w:rsid w:val="00CE34C7"/>
    <w:rsid w:val="00D949FB"/>
    <w:rsid w:val="00DE5E49"/>
    <w:rsid w:val="00E31AA0"/>
    <w:rsid w:val="00E33C91"/>
    <w:rsid w:val="00E4127F"/>
    <w:rsid w:val="00E57078"/>
    <w:rsid w:val="00E70392"/>
    <w:rsid w:val="00E82A63"/>
    <w:rsid w:val="00E86121"/>
    <w:rsid w:val="00EA3990"/>
    <w:rsid w:val="00EA4C16"/>
    <w:rsid w:val="00EA5822"/>
    <w:rsid w:val="00EF6ED7"/>
    <w:rsid w:val="00F00DFB"/>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82A63"/>
    <w:pPr>
      <w:spacing w:after="120" w:line="480" w:lineRule="auto"/>
      <w:ind w:left="360"/>
      <w:jc w:val="left"/>
    </w:pPr>
    <w:rPr>
      <w:color w:val="000000"/>
      <w:sz w:val="18"/>
      <w:szCs w:val="20"/>
      <w:lang w:val="en-GB"/>
    </w:rPr>
  </w:style>
  <w:style w:type="character" w:customStyle="1" w:styleId="BodyTextIndent2Char">
    <w:name w:val="Body Text Indent 2 Char"/>
    <w:basedOn w:val="DefaultParagraphFont"/>
    <w:link w:val="BodyTextIndent2"/>
    <w:rsid w:val="00E82A63"/>
    <w:rPr>
      <w:rFonts w:ascii="Arial" w:eastAsia="Times New Roman" w:hAnsi="Arial" w:cs="Times New Roman"/>
      <w:color w:val="000000"/>
      <w:sz w:val="1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82A63"/>
    <w:pPr>
      <w:spacing w:after="120" w:line="480" w:lineRule="auto"/>
      <w:ind w:left="360"/>
      <w:jc w:val="left"/>
    </w:pPr>
    <w:rPr>
      <w:color w:val="000000"/>
      <w:sz w:val="18"/>
      <w:szCs w:val="20"/>
      <w:lang w:val="en-GB"/>
    </w:rPr>
  </w:style>
  <w:style w:type="character" w:customStyle="1" w:styleId="BodyTextIndent2Char">
    <w:name w:val="Body Text Indent 2 Char"/>
    <w:basedOn w:val="DefaultParagraphFont"/>
    <w:link w:val="BodyTextIndent2"/>
    <w:rsid w:val="00E82A63"/>
    <w:rPr>
      <w:rFonts w:ascii="Arial" w:eastAsia="Times New Roman" w:hAnsi="Arial" w:cs="Times New Roman"/>
      <w:color w:val="000000"/>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F1443A04C2124CB436402154F3C6E1" ma:contentTypeVersion="5" ma:contentTypeDescription="Create a new document." ma:contentTypeScope="" ma:versionID="e0995b9f978fa9d852180d291aad2c21">
  <xsd:schema xmlns:xsd="http://www.w3.org/2001/XMLSchema" xmlns:xs="http://www.w3.org/2001/XMLSchema" xmlns:p="http://schemas.microsoft.com/office/2006/metadata/properties" xmlns:ns3="bb54f8b0-1768-4ebd-826a-809386225aad" targetNamespace="http://schemas.microsoft.com/office/2006/metadata/properties" ma:root="true" ma:fieldsID="134ce027f1ef1df574e565d32a05e1b6" ns3:_="">
    <xsd:import namespace="bb54f8b0-1768-4ebd-826a-809386225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f8b0-1768-4ebd-826a-809386225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AFE50-B465-4692-8C68-5951703E5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DAF49-2BCB-4ABC-BCFE-A56036A9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4f8b0-1768-4ebd-826a-80938622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89E22-141F-400D-A0CD-033D99F48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2019-08-02T07:39:00Z</dcterms:created>
  <dcterms:modified xsi:type="dcterms:W3CDTF">2019-08-02T07:39:00Z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0x01010057F1443A04C2124CB436402154F3C6E1</vt:lpwstr>
  </property>
</Properties>
</file>