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[Job Title]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[Job Title]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1F5F24"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A6795B" w:rsidRPr="00A6795B" w:rsidRDefault="00A6795B" w:rsidP="004B2221">
            <w:pPr>
              <w:spacing w:before="20" w:after="20"/>
              <w:jc w:val="left"/>
              <w:rPr>
                <w:sz w:val="18"/>
                <w:lang w:val="en-CA"/>
              </w:rPr>
            </w:pPr>
            <w:r>
              <w:rPr>
                <w:sz w:val="18"/>
                <w:lang w:val="en-CA"/>
              </w:rPr>
              <w:t>Offer Adaption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50B70" w:rsidP="00366A73">
            <w:pPr>
              <w:spacing w:before="20" w:after="20"/>
              <w:jc w:val="left"/>
              <w:rPr>
                <w:rFonts w:cs="Arial"/>
                <w:color w:val="000000"/>
                <w:szCs w:val="20"/>
              </w:rPr>
            </w:pPr>
            <w:r>
              <w:rPr>
                <w:rFonts w:cs="Arial"/>
                <w:color w:val="000000"/>
                <w:szCs w:val="20"/>
              </w:rPr>
              <w:t>Regional Marketing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50B70" w:rsidP="00161F93">
            <w:pPr>
              <w:spacing w:before="20" w:after="20"/>
              <w:jc w:val="left"/>
              <w:rPr>
                <w:rFonts w:cs="Arial"/>
                <w:color w:val="000000"/>
                <w:szCs w:val="20"/>
              </w:rPr>
            </w:pPr>
            <w:r>
              <w:rPr>
                <w:rFonts w:cs="Arial"/>
                <w:color w:val="000000"/>
                <w:szCs w:val="20"/>
              </w:rPr>
              <w:t xml:space="preserve">No Fixed Place of work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50B70" w:rsidRPr="00350B70" w:rsidRDefault="00350B70" w:rsidP="00350B70">
            <w:pPr>
              <w:pStyle w:val="Puces4"/>
              <w:numPr>
                <w:ilvl w:val="0"/>
                <w:numId w:val="2"/>
              </w:numPr>
              <w:rPr>
                <w:color w:val="000000" w:themeColor="text1"/>
              </w:rPr>
            </w:pPr>
            <w:r w:rsidRPr="00350B70">
              <w:rPr>
                <w:color w:val="000000" w:themeColor="text1"/>
              </w:rPr>
              <w:t>Based on the Segment strategy and the selection of targeted sub-segments for the region, as part of the offer development process, the Offer Adaptation Manager contributes by adapting the global offers to the characteristics of the regional Clients &amp; Consumers.</w:t>
            </w:r>
          </w:p>
          <w:p w:rsidR="00350B70" w:rsidRPr="00350B70" w:rsidRDefault="00350B70" w:rsidP="00350B70">
            <w:pPr>
              <w:pStyle w:val="Puces4"/>
              <w:numPr>
                <w:ilvl w:val="0"/>
                <w:numId w:val="0"/>
              </w:numPr>
              <w:ind w:left="360"/>
              <w:rPr>
                <w:color w:val="000000" w:themeColor="text1"/>
              </w:rPr>
            </w:pPr>
          </w:p>
          <w:p w:rsidR="00745A24" w:rsidRPr="00F479E6" w:rsidRDefault="00350B70" w:rsidP="00350B70">
            <w:pPr>
              <w:pStyle w:val="Puces4"/>
              <w:numPr>
                <w:ilvl w:val="0"/>
                <w:numId w:val="2"/>
              </w:numPr>
              <w:rPr>
                <w:color w:val="000000" w:themeColor="text1"/>
              </w:rPr>
            </w:pPr>
            <w:r w:rsidRPr="00350B70">
              <w:rPr>
                <w:color w:val="000000" w:themeColor="text1"/>
              </w:rPr>
              <w:t>The Offer Adaptation Manager will lead the collection, production &amp; analysis of regional Clients &amp; Consumers data &amp; knowledge. They will define the changes required to global offers to meet the precise needs of regional Clients &amp; Consumers.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50B70" w:rsidP="00161F93">
            <w:pPr>
              <w:rPr>
                <w:sz w:val="18"/>
                <w:szCs w:val="18"/>
              </w:rPr>
            </w:pPr>
            <w:r>
              <w:rPr>
                <w:sz w:val="18"/>
                <w:szCs w:val="18"/>
              </w:rPr>
              <w:t>Turnover £250m</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50B70" w:rsidP="00161F93">
            <w:pPr>
              <w:rPr>
                <w:sz w:val="18"/>
                <w:szCs w:val="18"/>
              </w:rPr>
            </w:pPr>
            <w:r>
              <w:rPr>
                <w:sz w:val="18"/>
                <w:szCs w:val="18"/>
              </w:rPr>
              <w:t>Budget 200K</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350B70"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4371975" cy="1457325"/>
                  <wp:effectExtent l="0" t="3810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 xml:space="preserve">The Offer Adaptation Manager will play a critical role in gaining deep insight into Client and Consumer needs across the UK&amp;I region. Data capture will be extensive and from a number of sources. In the first 12 months of the new </w:t>
            </w:r>
            <w:proofErr w:type="spellStart"/>
            <w:r w:rsidRPr="00350B70">
              <w:rPr>
                <w:rFonts w:cs="Arial"/>
                <w:color w:val="000000" w:themeColor="text1"/>
                <w:szCs w:val="20"/>
              </w:rPr>
              <w:t>organisational</w:t>
            </w:r>
            <w:proofErr w:type="spellEnd"/>
            <w:r w:rsidRPr="00350B70">
              <w:rPr>
                <w:rFonts w:cs="Arial"/>
                <w:color w:val="000000" w:themeColor="text1"/>
                <w:szCs w:val="20"/>
              </w:rPr>
              <w:t xml:space="preserve"> model the knowledge building expectation will be high. With multiple agency clients there will be a challenge in accessing all the key data required.</w:t>
            </w:r>
          </w:p>
          <w:p w:rsidR="00350B70" w:rsidRPr="00350B70" w:rsidRDefault="00350B70" w:rsidP="00350B70">
            <w:pPr>
              <w:spacing w:before="40" w:after="40"/>
              <w:ind w:left="720"/>
              <w:jc w:val="left"/>
              <w:rPr>
                <w:rFonts w:cs="Arial"/>
                <w:color w:val="000000" w:themeColor="text1"/>
                <w:szCs w:val="20"/>
              </w:rPr>
            </w:pPr>
          </w:p>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 xml:space="preserve">In assessing how much regional adaptation of global offers will be required, the Offer Adaptation Manager will need to build a high level of knowledge of government policies, regional laws, specific sub-segment agendas (e.g. MoD, Police) and outsourcing methodology. </w:t>
            </w:r>
          </w:p>
          <w:p w:rsidR="00350B70" w:rsidRPr="00350B70" w:rsidRDefault="00350B70" w:rsidP="00350B70">
            <w:pPr>
              <w:spacing w:before="40" w:after="40"/>
              <w:ind w:left="720"/>
              <w:jc w:val="left"/>
              <w:rPr>
                <w:rFonts w:cs="Arial"/>
                <w:color w:val="000000" w:themeColor="text1"/>
                <w:szCs w:val="20"/>
              </w:rPr>
            </w:pPr>
          </w:p>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Key challenges:</w:t>
            </w:r>
          </w:p>
          <w:p w:rsidR="00350B70" w:rsidRPr="00350B70" w:rsidRDefault="00350B70" w:rsidP="00350B70">
            <w:pPr>
              <w:spacing w:before="40" w:after="40"/>
              <w:ind w:left="720"/>
              <w:jc w:val="left"/>
              <w:rPr>
                <w:rFonts w:cs="Arial"/>
                <w:color w:val="000000" w:themeColor="text1"/>
                <w:szCs w:val="20"/>
              </w:rPr>
            </w:pPr>
          </w:p>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Build a knowledge base on Defence &amp; Agencies Clients and Consumers</w:t>
            </w:r>
          </w:p>
          <w:p w:rsidR="00350B70" w:rsidRPr="00350B70" w:rsidRDefault="00350B70" w:rsidP="00350B70">
            <w:pPr>
              <w:spacing w:before="40" w:after="40"/>
              <w:ind w:left="720"/>
              <w:jc w:val="left"/>
              <w:rPr>
                <w:rFonts w:cs="Arial"/>
                <w:color w:val="000000" w:themeColor="text1"/>
                <w:szCs w:val="20"/>
              </w:rPr>
            </w:pPr>
          </w:p>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The Offer Adaptation Manager will co-ordinate the development of an extensive knowledge base, using various methodologies to capture extensive Client &amp; Consumer data.</w:t>
            </w:r>
          </w:p>
          <w:p w:rsidR="00350B70" w:rsidRPr="00350B70" w:rsidRDefault="00350B70" w:rsidP="00350B70">
            <w:pPr>
              <w:spacing w:before="40" w:after="40"/>
              <w:ind w:left="720"/>
              <w:jc w:val="left"/>
              <w:rPr>
                <w:rFonts w:cs="Arial"/>
                <w:color w:val="000000" w:themeColor="text1"/>
                <w:szCs w:val="20"/>
              </w:rPr>
            </w:pPr>
          </w:p>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Develop in-depth Client and Consumer insight</w:t>
            </w:r>
          </w:p>
          <w:p w:rsidR="00350B70" w:rsidRPr="00350B70" w:rsidRDefault="00350B70" w:rsidP="00350B70">
            <w:pPr>
              <w:spacing w:before="40" w:after="40"/>
              <w:ind w:left="720"/>
              <w:jc w:val="left"/>
              <w:rPr>
                <w:rFonts w:cs="Arial"/>
                <w:color w:val="000000" w:themeColor="text1"/>
                <w:szCs w:val="20"/>
              </w:rPr>
            </w:pPr>
          </w:p>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Based on the data gathered, the Offer Adaptation Manager will work with key stakeholders to identify specific insights which will inform the future direction of offers and non-offers, sales bids and regional strategy.</w:t>
            </w:r>
          </w:p>
          <w:p w:rsidR="00350B70" w:rsidRPr="00350B70" w:rsidRDefault="00350B70" w:rsidP="00350B70">
            <w:pPr>
              <w:spacing w:before="40" w:after="40"/>
              <w:ind w:left="720"/>
              <w:jc w:val="left"/>
              <w:rPr>
                <w:rFonts w:cs="Arial"/>
                <w:color w:val="000000" w:themeColor="text1"/>
                <w:szCs w:val="20"/>
              </w:rPr>
            </w:pPr>
          </w:p>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Evaluate the adaptation of global offers required based on regional knowledge</w:t>
            </w:r>
          </w:p>
          <w:p w:rsidR="00350B70" w:rsidRPr="00350B70" w:rsidRDefault="00350B70" w:rsidP="00350B70">
            <w:pPr>
              <w:spacing w:before="40" w:after="40"/>
              <w:ind w:left="720"/>
              <w:jc w:val="left"/>
              <w:rPr>
                <w:rFonts w:cs="Arial"/>
                <w:color w:val="000000" w:themeColor="text1"/>
                <w:szCs w:val="20"/>
              </w:rPr>
            </w:pPr>
          </w:p>
          <w:p w:rsidR="00350B70" w:rsidRPr="00350B70" w:rsidRDefault="00350B70" w:rsidP="00350B70">
            <w:pPr>
              <w:numPr>
                <w:ilvl w:val="0"/>
                <w:numId w:val="3"/>
              </w:numPr>
              <w:spacing w:before="40" w:after="40"/>
              <w:jc w:val="left"/>
              <w:rPr>
                <w:rFonts w:cs="Arial"/>
                <w:color w:val="000000" w:themeColor="text1"/>
                <w:szCs w:val="20"/>
              </w:rPr>
            </w:pPr>
            <w:r w:rsidRPr="00350B70">
              <w:rPr>
                <w:rFonts w:cs="Arial"/>
                <w:color w:val="000000" w:themeColor="text1"/>
                <w:szCs w:val="20"/>
              </w:rPr>
              <w:t>Marketing will define to what degree global offers will require adaptation before implementation into operations (or solution design). This assessment will be based on Client &amp; Consumer knowledge, as well as regional government policies, contracts, laws and outsourcing agendas.</w:t>
            </w:r>
          </w:p>
          <w:p w:rsidR="00745A24" w:rsidRPr="00C4695A" w:rsidRDefault="00745A24" w:rsidP="00350B70">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50B70" w:rsidRPr="00350B70" w:rsidRDefault="00350B70" w:rsidP="00350B70">
            <w:pPr>
              <w:numPr>
                <w:ilvl w:val="0"/>
                <w:numId w:val="17"/>
              </w:numPr>
              <w:spacing w:before="40" w:after="40"/>
              <w:jc w:val="left"/>
              <w:rPr>
                <w:rFonts w:cs="Arial"/>
                <w:szCs w:val="20"/>
                <w:lang w:eastAsia="zh-CN"/>
              </w:rPr>
            </w:pPr>
            <w:r w:rsidRPr="00350B70">
              <w:rPr>
                <w:rFonts w:cs="Arial"/>
                <w:szCs w:val="20"/>
                <w:lang w:eastAsia="zh-CN"/>
              </w:rPr>
              <w:t>Insight</w:t>
            </w:r>
          </w:p>
          <w:p w:rsidR="00350B70" w:rsidRPr="00350B70" w:rsidRDefault="00350B70" w:rsidP="00350B70">
            <w:pPr>
              <w:pStyle w:val="ListParagraph"/>
              <w:spacing w:before="40" w:after="40"/>
              <w:ind w:left="360"/>
              <w:jc w:val="left"/>
              <w:rPr>
                <w:rFonts w:cs="Arial"/>
                <w:szCs w:val="20"/>
                <w:lang w:eastAsia="zh-CN"/>
              </w:rPr>
            </w:pPr>
            <w:r w:rsidRPr="00350B70">
              <w:rPr>
                <w:rFonts w:cs="Arial"/>
                <w:szCs w:val="20"/>
                <w:lang w:eastAsia="zh-CN"/>
              </w:rPr>
              <w:t>Build a database of consumer and client needs through the most appropriate methodologies and in line with Global C&amp;C insight expectations</w:t>
            </w:r>
          </w:p>
          <w:p w:rsidR="00350B70" w:rsidRPr="00350B70" w:rsidRDefault="00350B70" w:rsidP="00350B70">
            <w:pPr>
              <w:pStyle w:val="ListParagraph"/>
              <w:spacing w:before="40" w:after="40"/>
              <w:ind w:left="360"/>
              <w:jc w:val="left"/>
              <w:rPr>
                <w:rFonts w:cs="Arial"/>
                <w:szCs w:val="20"/>
                <w:lang w:eastAsia="zh-CN"/>
              </w:rPr>
            </w:pPr>
            <w:r w:rsidRPr="00350B70">
              <w:rPr>
                <w:rFonts w:cs="Arial"/>
                <w:szCs w:val="20"/>
                <w:lang w:eastAsia="zh-CN"/>
              </w:rPr>
              <w:t>Develop strategic insights into Client &amp; Consumer needs by sub-segment</w:t>
            </w:r>
          </w:p>
          <w:p w:rsidR="00350B70" w:rsidRPr="00350B70" w:rsidRDefault="00350B70" w:rsidP="00350B70">
            <w:pPr>
              <w:pStyle w:val="ListParagraph"/>
              <w:spacing w:before="40" w:after="40"/>
              <w:ind w:left="360"/>
              <w:jc w:val="left"/>
              <w:rPr>
                <w:rFonts w:cs="Arial"/>
                <w:szCs w:val="20"/>
                <w:lang w:eastAsia="zh-CN"/>
              </w:rPr>
            </w:pPr>
            <w:r w:rsidRPr="00350B70">
              <w:rPr>
                <w:rFonts w:cs="Arial"/>
                <w:szCs w:val="20"/>
                <w:lang w:eastAsia="zh-CN"/>
              </w:rPr>
              <w:t xml:space="preserve">Data capture will include Clients For Life data, need state questionnaires, client dashboard data, contract meeting documents, consumer surveys, key management stakeholder intelligence and others to be developed (e.g. </w:t>
            </w:r>
            <w:proofErr w:type="spellStart"/>
            <w:r w:rsidRPr="00350B70">
              <w:rPr>
                <w:rFonts w:cs="Arial"/>
                <w:szCs w:val="20"/>
                <w:lang w:eastAsia="zh-CN"/>
              </w:rPr>
              <w:t>TruRating</w:t>
            </w:r>
            <w:proofErr w:type="spellEnd"/>
            <w:r w:rsidRPr="00350B70">
              <w:rPr>
                <w:rFonts w:cs="Arial"/>
                <w:szCs w:val="20"/>
                <w:lang w:eastAsia="zh-CN"/>
              </w:rPr>
              <w:t>)</w:t>
            </w:r>
          </w:p>
          <w:p w:rsidR="00350B70" w:rsidRPr="00350B70" w:rsidRDefault="00350B70" w:rsidP="00350B70">
            <w:pPr>
              <w:spacing w:before="40" w:after="40"/>
              <w:jc w:val="left"/>
              <w:rPr>
                <w:rFonts w:cs="Arial"/>
                <w:szCs w:val="20"/>
                <w:lang w:eastAsia="zh-CN"/>
              </w:rPr>
            </w:pPr>
          </w:p>
          <w:p w:rsidR="00350B70" w:rsidRDefault="00350B70" w:rsidP="00350B70">
            <w:pPr>
              <w:numPr>
                <w:ilvl w:val="0"/>
                <w:numId w:val="17"/>
              </w:numPr>
              <w:spacing w:before="40" w:after="40"/>
              <w:jc w:val="left"/>
              <w:rPr>
                <w:rFonts w:cs="Arial"/>
                <w:szCs w:val="20"/>
                <w:lang w:eastAsia="zh-CN"/>
              </w:rPr>
            </w:pPr>
            <w:r>
              <w:rPr>
                <w:rFonts w:cs="Arial" w:hint="eastAsia"/>
                <w:szCs w:val="20"/>
                <w:lang w:eastAsia="zh-CN"/>
              </w:rPr>
              <w:t>Education</w:t>
            </w:r>
          </w:p>
          <w:p w:rsidR="00350B70" w:rsidRDefault="00350B70" w:rsidP="00350B70">
            <w:pPr>
              <w:spacing w:before="40" w:after="40"/>
              <w:ind w:left="360"/>
              <w:jc w:val="left"/>
              <w:rPr>
                <w:rFonts w:cs="Arial"/>
                <w:szCs w:val="20"/>
                <w:lang w:eastAsia="zh-CN"/>
              </w:rPr>
            </w:pPr>
            <w:r>
              <w:rPr>
                <w:rFonts w:cs="Arial"/>
                <w:szCs w:val="20"/>
                <w:lang w:eastAsia="zh-CN"/>
              </w:rPr>
              <w:t>Support</w:t>
            </w:r>
            <w:r>
              <w:rPr>
                <w:rFonts w:cs="Arial" w:hint="eastAsia"/>
                <w:szCs w:val="20"/>
                <w:lang w:eastAsia="zh-CN"/>
              </w:rPr>
              <w:t xml:space="preserve"> </w:t>
            </w:r>
            <w:r>
              <w:rPr>
                <w:rFonts w:cs="Arial"/>
                <w:szCs w:val="20"/>
                <w:lang w:eastAsia="zh-CN"/>
              </w:rPr>
              <w:t>operational and sales teams by sharing insights through structured processes</w:t>
            </w:r>
          </w:p>
          <w:p w:rsidR="00350B70" w:rsidRDefault="00350B70" w:rsidP="00350B70">
            <w:pPr>
              <w:spacing w:before="40" w:after="40"/>
              <w:ind w:left="360"/>
              <w:jc w:val="left"/>
              <w:rPr>
                <w:rFonts w:cs="Arial"/>
                <w:szCs w:val="20"/>
                <w:lang w:eastAsia="zh-CN"/>
              </w:rPr>
            </w:pPr>
            <w:r>
              <w:rPr>
                <w:rFonts w:cs="Arial"/>
                <w:szCs w:val="20"/>
                <w:lang w:eastAsia="zh-CN"/>
              </w:rPr>
              <w:t>Prepare presentations on data for Defence &amp; Agencies Executive meetings and Global Insight forums</w:t>
            </w:r>
          </w:p>
          <w:p w:rsidR="00350B70" w:rsidRPr="0051645D" w:rsidRDefault="00350B70" w:rsidP="00350B70">
            <w:pPr>
              <w:spacing w:before="40" w:after="40"/>
              <w:ind w:left="360"/>
              <w:jc w:val="left"/>
              <w:rPr>
                <w:rFonts w:cs="Arial"/>
                <w:szCs w:val="20"/>
                <w:lang w:eastAsia="zh-CN"/>
              </w:rPr>
            </w:pPr>
          </w:p>
          <w:p w:rsidR="00350B70" w:rsidRDefault="00350B70" w:rsidP="00350B70">
            <w:pPr>
              <w:numPr>
                <w:ilvl w:val="0"/>
                <w:numId w:val="17"/>
              </w:numPr>
              <w:spacing w:before="40" w:after="40"/>
              <w:jc w:val="left"/>
              <w:rPr>
                <w:rFonts w:cs="Arial"/>
                <w:szCs w:val="20"/>
                <w:lang w:eastAsia="zh-CN"/>
              </w:rPr>
            </w:pPr>
            <w:r>
              <w:rPr>
                <w:rFonts w:cs="Arial" w:hint="eastAsia"/>
                <w:szCs w:val="20"/>
                <w:lang w:eastAsia="zh-CN"/>
              </w:rPr>
              <w:t>Offer development</w:t>
            </w:r>
          </w:p>
          <w:p w:rsidR="00350B70" w:rsidRDefault="00350B70" w:rsidP="00350B70">
            <w:pPr>
              <w:spacing w:before="40" w:after="40"/>
              <w:ind w:left="360"/>
              <w:jc w:val="left"/>
              <w:rPr>
                <w:rFonts w:cs="Arial"/>
                <w:szCs w:val="20"/>
                <w:lang w:eastAsia="zh-CN"/>
              </w:rPr>
            </w:pPr>
            <w:r>
              <w:rPr>
                <w:rFonts w:cs="Arial" w:hint="eastAsia"/>
                <w:szCs w:val="20"/>
                <w:lang w:eastAsia="zh-CN"/>
              </w:rPr>
              <w:t>Participate to the Client &amp; Consumer Insights processes driven by Global teams</w:t>
            </w:r>
          </w:p>
          <w:p w:rsidR="00350B70" w:rsidRDefault="00350B70" w:rsidP="00350B70">
            <w:pPr>
              <w:spacing w:before="40" w:after="40"/>
              <w:ind w:left="360"/>
              <w:jc w:val="left"/>
              <w:rPr>
                <w:rFonts w:cs="Arial"/>
                <w:szCs w:val="20"/>
                <w:lang w:eastAsia="zh-CN"/>
              </w:rPr>
            </w:pPr>
            <w:r>
              <w:rPr>
                <w:rFonts w:cs="Arial" w:hint="eastAsia"/>
                <w:szCs w:val="20"/>
                <w:lang w:eastAsia="zh-CN"/>
              </w:rPr>
              <w:t>Identify Region</w:t>
            </w:r>
            <w:r>
              <w:rPr>
                <w:rFonts w:cs="Arial"/>
                <w:szCs w:val="20"/>
                <w:lang w:eastAsia="zh-CN"/>
              </w:rPr>
              <w:t>’</w:t>
            </w:r>
            <w:r>
              <w:rPr>
                <w:rFonts w:cs="Arial" w:hint="eastAsia"/>
                <w:szCs w:val="20"/>
                <w:lang w:eastAsia="zh-CN"/>
              </w:rPr>
              <w:t>s specifics and ensure they are taken into account in Insights work</w:t>
            </w:r>
          </w:p>
          <w:p w:rsidR="00350B70" w:rsidRPr="00E927FE" w:rsidRDefault="00350B70" w:rsidP="00350B70">
            <w:pPr>
              <w:pStyle w:val="ListParagraph"/>
              <w:spacing w:before="40" w:after="40"/>
              <w:ind w:left="360"/>
              <w:jc w:val="left"/>
              <w:rPr>
                <w:rFonts w:cs="Arial"/>
                <w:szCs w:val="20"/>
                <w:lang w:eastAsia="zh-CN"/>
              </w:rPr>
            </w:pPr>
            <w:r>
              <w:rPr>
                <w:rFonts w:cs="Arial" w:hint="eastAsia"/>
                <w:szCs w:val="20"/>
                <w:lang w:eastAsia="zh-CN"/>
              </w:rPr>
              <w:t>Participate to meeting</w:t>
            </w:r>
            <w:r w:rsidRPr="00E927FE">
              <w:rPr>
                <w:rFonts w:cs="Arial" w:hint="eastAsia"/>
                <w:szCs w:val="20"/>
                <w:lang w:eastAsia="zh-CN"/>
              </w:rPr>
              <w:t xml:space="preserve"> </w:t>
            </w:r>
            <w:r>
              <w:rPr>
                <w:rFonts w:cs="Arial" w:hint="eastAsia"/>
                <w:szCs w:val="20"/>
                <w:lang w:eastAsia="zh-CN"/>
              </w:rPr>
              <w:t xml:space="preserve">existing </w:t>
            </w:r>
            <w:r>
              <w:rPr>
                <w:rFonts w:cs="Arial"/>
                <w:szCs w:val="20"/>
                <w:lang w:eastAsia="zh-CN"/>
              </w:rPr>
              <w:t>and</w:t>
            </w:r>
            <w:r w:rsidRPr="00E927FE">
              <w:rPr>
                <w:rFonts w:cs="Arial" w:hint="eastAsia"/>
                <w:szCs w:val="20"/>
                <w:lang w:eastAsia="zh-CN"/>
              </w:rPr>
              <w:t xml:space="preserve"> potential targeted Clients as part of the process based on a plan </w:t>
            </w:r>
            <w:r>
              <w:rPr>
                <w:rFonts w:cs="Arial" w:hint="eastAsia"/>
                <w:szCs w:val="20"/>
                <w:lang w:eastAsia="zh-CN"/>
              </w:rPr>
              <w:t xml:space="preserve">lead by </w:t>
            </w:r>
            <w:r>
              <w:rPr>
                <w:rFonts w:cs="Arial" w:hint="eastAsia"/>
                <w:szCs w:val="20"/>
                <w:lang w:eastAsia="zh-CN"/>
              </w:rPr>
              <w:lastRenderedPageBreak/>
              <w:t xml:space="preserve">Global teams and agreed with Operations </w:t>
            </w:r>
            <w:r>
              <w:rPr>
                <w:rFonts w:cs="Arial"/>
                <w:szCs w:val="20"/>
                <w:lang w:eastAsia="zh-CN"/>
              </w:rPr>
              <w:t>and</w:t>
            </w:r>
            <w:r w:rsidRPr="00E927FE">
              <w:rPr>
                <w:rFonts w:cs="Arial" w:hint="eastAsia"/>
                <w:szCs w:val="20"/>
                <w:lang w:eastAsia="zh-CN"/>
              </w:rPr>
              <w:t xml:space="preserve"> Sales </w:t>
            </w:r>
            <w:r w:rsidRPr="00E927FE">
              <w:rPr>
                <w:rFonts w:cs="Arial"/>
                <w:szCs w:val="20"/>
                <w:lang w:eastAsia="zh-CN"/>
              </w:rPr>
              <w:t>when necessary</w:t>
            </w:r>
          </w:p>
          <w:p w:rsidR="00350B70" w:rsidRDefault="00350B70" w:rsidP="00350B70">
            <w:pPr>
              <w:spacing w:before="40" w:after="40"/>
              <w:ind w:left="360"/>
              <w:jc w:val="left"/>
              <w:rPr>
                <w:rFonts w:cs="Arial"/>
                <w:szCs w:val="20"/>
                <w:lang w:eastAsia="zh-CN"/>
              </w:rPr>
            </w:pPr>
            <w:r>
              <w:rPr>
                <w:rFonts w:cs="Arial" w:hint="eastAsia"/>
                <w:szCs w:val="20"/>
                <w:lang w:eastAsia="zh-CN"/>
              </w:rPr>
              <w:t>Contribute to the a</w:t>
            </w:r>
            <w:r>
              <w:rPr>
                <w:rFonts w:cs="Arial"/>
                <w:szCs w:val="20"/>
                <w:lang w:eastAsia="zh-CN"/>
              </w:rPr>
              <w:t>naly</w:t>
            </w:r>
            <w:r>
              <w:rPr>
                <w:rFonts w:cs="Arial" w:hint="eastAsia"/>
                <w:szCs w:val="20"/>
                <w:lang w:eastAsia="zh-CN"/>
              </w:rPr>
              <w:t>sis of</w:t>
            </w:r>
            <w:r>
              <w:rPr>
                <w:rFonts w:cs="Arial"/>
                <w:szCs w:val="20"/>
                <w:lang w:eastAsia="zh-CN"/>
              </w:rPr>
              <w:t xml:space="preserve"> data &amp; knowledge collected</w:t>
            </w:r>
            <w:r>
              <w:rPr>
                <w:rFonts w:cs="Arial" w:hint="eastAsia"/>
                <w:szCs w:val="20"/>
                <w:lang w:eastAsia="zh-CN"/>
              </w:rPr>
              <w:t xml:space="preserve"> or produced</w:t>
            </w:r>
          </w:p>
          <w:p w:rsidR="00350B70" w:rsidRPr="006D63CA" w:rsidRDefault="00350B70" w:rsidP="00350B70">
            <w:pPr>
              <w:spacing w:before="40" w:after="40"/>
              <w:ind w:left="360"/>
              <w:jc w:val="left"/>
              <w:rPr>
                <w:rFonts w:cs="Arial"/>
                <w:szCs w:val="20"/>
                <w:lang w:eastAsia="zh-CN"/>
              </w:rPr>
            </w:pPr>
            <w:r w:rsidRPr="006D63CA">
              <w:rPr>
                <w:rFonts w:cs="Arial" w:hint="eastAsia"/>
                <w:szCs w:val="20"/>
                <w:lang w:eastAsia="zh-CN"/>
              </w:rPr>
              <w:t xml:space="preserve">Validate relevance of Global </w:t>
            </w:r>
            <w:r w:rsidRPr="006D63CA">
              <w:rPr>
                <w:rFonts w:cs="Arial"/>
                <w:szCs w:val="20"/>
                <w:lang w:eastAsia="zh-CN"/>
              </w:rPr>
              <w:t>Insights</w:t>
            </w:r>
            <w:r w:rsidRPr="006D63CA">
              <w:rPr>
                <w:rFonts w:cs="Arial" w:hint="eastAsia"/>
                <w:szCs w:val="20"/>
                <w:lang w:eastAsia="zh-CN"/>
              </w:rPr>
              <w:t xml:space="preserve"> for </w:t>
            </w:r>
            <w:r w:rsidRPr="006D63CA">
              <w:rPr>
                <w:rFonts w:cs="Arial"/>
                <w:szCs w:val="20"/>
                <w:lang w:eastAsia="zh-CN"/>
              </w:rPr>
              <w:t>the</w:t>
            </w:r>
            <w:r w:rsidRPr="006D63CA">
              <w:rPr>
                <w:rFonts w:cs="Arial" w:hint="eastAsia"/>
                <w:szCs w:val="20"/>
                <w:lang w:eastAsia="zh-CN"/>
              </w:rPr>
              <w:t xml:space="preserve"> region &amp; countries</w:t>
            </w:r>
          </w:p>
          <w:p w:rsidR="00350B70" w:rsidRPr="00350B70" w:rsidRDefault="00350B70" w:rsidP="00350B70">
            <w:pPr>
              <w:spacing w:before="40" w:after="40"/>
              <w:ind w:left="360"/>
              <w:jc w:val="left"/>
              <w:rPr>
                <w:rFonts w:cs="Arial"/>
                <w:szCs w:val="20"/>
                <w:lang w:eastAsia="zh-CN"/>
              </w:rPr>
            </w:pPr>
          </w:p>
          <w:p w:rsidR="00424476" w:rsidRPr="00350B70" w:rsidRDefault="00424476" w:rsidP="00350B70">
            <w:pPr>
              <w:spacing w:before="40" w:after="40"/>
              <w:ind w:left="360"/>
              <w:jc w:val="left"/>
              <w:rPr>
                <w:rFonts w:cs="Arial"/>
                <w:szCs w:val="20"/>
                <w:lang w:eastAsia="zh-CN"/>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745A2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Add point</w:t>
            </w:r>
          </w:p>
          <w:p w:rsidR="00745A24" w:rsidRDefault="00745A2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Add point</w:t>
            </w:r>
          </w:p>
          <w:p w:rsidR="00745A24" w:rsidRPr="00424476" w:rsidRDefault="00745A2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Add point</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F5F24" w:rsidRDefault="001F5F24" w:rsidP="001F5F24">
            <w:pPr>
              <w:pStyle w:val="Default"/>
            </w:pPr>
            <w:bookmarkStart w:id="0" w:name="_GoBack"/>
          </w:p>
          <w:p w:rsidR="001F5F24" w:rsidRDefault="001F5F24" w:rsidP="001F5F24">
            <w:pPr>
              <w:pStyle w:val="ListParagraph"/>
              <w:numPr>
                <w:ilvl w:val="0"/>
                <w:numId w:val="3"/>
              </w:numPr>
            </w:pPr>
            <w:r>
              <w:t xml:space="preserve">Graduate </w:t>
            </w:r>
            <w:proofErr w:type="spellStart"/>
            <w:r>
              <w:t>calibre</w:t>
            </w:r>
            <w:proofErr w:type="spellEnd"/>
            <w:r>
              <w:t>.</w:t>
            </w:r>
          </w:p>
          <w:p w:rsidR="001F5F24" w:rsidRDefault="001F5F24" w:rsidP="001F5F24">
            <w:pPr>
              <w:pStyle w:val="ListParagraph"/>
              <w:numPr>
                <w:ilvl w:val="0"/>
                <w:numId w:val="3"/>
              </w:numPr>
            </w:pPr>
            <w:r>
              <w:t>Experience of designing and implementing e-learning strategies.</w:t>
            </w:r>
          </w:p>
          <w:p w:rsidR="001F5F24" w:rsidRDefault="001F5F24" w:rsidP="001F5F24">
            <w:pPr>
              <w:pStyle w:val="ListParagraph"/>
              <w:numPr>
                <w:ilvl w:val="0"/>
                <w:numId w:val="3"/>
              </w:numPr>
            </w:pPr>
            <w:r>
              <w:t xml:space="preserve">Experience of working within an </w:t>
            </w:r>
            <w:proofErr w:type="spellStart"/>
            <w:r>
              <w:t>IiP</w:t>
            </w:r>
            <w:proofErr w:type="spellEnd"/>
            <w:r>
              <w:t xml:space="preserve"> framework.</w:t>
            </w:r>
          </w:p>
          <w:p w:rsidR="001F5F24" w:rsidRDefault="001F5F24" w:rsidP="001F5F24">
            <w:pPr>
              <w:pStyle w:val="ListParagraph"/>
              <w:numPr>
                <w:ilvl w:val="0"/>
                <w:numId w:val="3"/>
              </w:numPr>
            </w:pPr>
            <w:r>
              <w:t xml:space="preserve">Experience of working successfully with accrediting and regulatory bodies and implementing associated </w:t>
            </w:r>
            <w:proofErr w:type="spellStart"/>
            <w:r>
              <w:t>programmes</w:t>
            </w:r>
            <w:proofErr w:type="spellEnd"/>
            <w:r>
              <w:t>.</w:t>
            </w:r>
          </w:p>
          <w:p w:rsidR="00EA3990" w:rsidRPr="004238D8" w:rsidRDefault="001F5F24" w:rsidP="001F5F24">
            <w:pPr>
              <w:pStyle w:val="Puces4"/>
              <w:numPr>
                <w:ilvl w:val="0"/>
                <w:numId w:val="0"/>
              </w:numPr>
              <w:ind w:left="720"/>
            </w:pPr>
            <w:r>
              <w:t>Experience of curriculum design</w:t>
            </w:r>
            <w:bookmarkEnd w:id="0"/>
          </w:p>
        </w:tc>
      </w:tr>
    </w:tbl>
    <w:p w:rsidR="007F02BF" w:rsidRDefault="0035235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352352">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352352">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352352">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352352">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352352">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352352">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352352">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352352">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352352">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352352">
                  <w:pPr>
                    <w:pStyle w:val="Puces4"/>
                    <w:framePr w:hSpace="180" w:wrap="around" w:vAnchor="text" w:hAnchor="margin" w:xAlign="center" w:y="192"/>
                    <w:numPr>
                      <w:ilvl w:val="0"/>
                      <w:numId w:val="0"/>
                    </w:numPr>
                    <w:ind w:left="851"/>
                    <w:rPr>
                      <w:rFonts w:eastAsia="Times New Roman"/>
                    </w:rPr>
                  </w:pPr>
                </w:p>
              </w:tc>
            </w:tr>
            <w:tr w:rsidR="00EA3990" w:rsidTr="001F5F24">
              <w:trPr>
                <w:trHeight w:val="196"/>
              </w:trPr>
              <w:tc>
                <w:tcPr>
                  <w:tcW w:w="4473" w:type="dxa"/>
                </w:tcPr>
                <w:p w:rsidR="00EA3990" w:rsidRDefault="00EA3990" w:rsidP="00352352">
                  <w:pPr>
                    <w:pStyle w:val="Puces4"/>
                    <w:framePr w:hSpace="180" w:wrap="around" w:vAnchor="text" w:hAnchor="margin" w:xAlign="center" w:y="192"/>
                    <w:numPr>
                      <w:ilvl w:val="0"/>
                      <w:numId w:val="0"/>
                    </w:numPr>
                    <w:ind w:left="851"/>
                    <w:rPr>
                      <w:rFonts w:eastAsia="Times New Roman"/>
                    </w:rPr>
                  </w:pPr>
                </w:p>
              </w:tc>
              <w:tc>
                <w:tcPr>
                  <w:tcW w:w="4524" w:type="dxa"/>
                </w:tcPr>
                <w:p w:rsidR="00EA3990" w:rsidRDefault="00EA3990" w:rsidP="00352352">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5235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F5F24" w:rsidP="0035235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35235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F5F24" w:rsidP="0035235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20/10/18</w:t>
                  </w:r>
                </w:p>
              </w:tc>
            </w:tr>
            <w:tr w:rsidR="00E57078" w:rsidTr="00E57078">
              <w:tc>
                <w:tcPr>
                  <w:tcW w:w="2122" w:type="dxa"/>
                </w:tcPr>
                <w:p w:rsidR="00E57078" w:rsidRDefault="00E57078" w:rsidP="0035235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1F5F24" w:rsidP="0035235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SJH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E513C"/>
    <w:multiLevelType w:val="hybridMultilevel"/>
    <w:tmpl w:val="E0EA2592"/>
    <w:lvl w:ilvl="0" w:tplc="0409000F">
      <w:start w:val="1"/>
      <w:numFmt w:val="decimal"/>
      <w:lvlText w:val="%1."/>
      <w:lvlJc w:val="left"/>
      <w:pPr>
        <w:tabs>
          <w:tab w:val="num" w:pos="360"/>
        </w:tabs>
        <w:ind w:left="360" w:hanging="360"/>
      </w:pPr>
      <w:rPr>
        <w:rFont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5"/>
  </w:num>
  <w:num w:numId="10">
    <w:abstractNumId w:val="16"/>
  </w:num>
  <w:num w:numId="11">
    <w:abstractNumId w:val="7"/>
  </w:num>
  <w:num w:numId="12">
    <w:abstractNumId w:val="0"/>
  </w:num>
  <w:num w:numId="13">
    <w:abstractNumId w:val="11"/>
  </w:num>
  <w:num w:numId="14">
    <w:abstractNumId w:val="3"/>
  </w:num>
  <w:num w:numId="15">
    <w:abstractNumId w:val="13"/>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1F5F24"/>
    <w:rsid w:val="00293E5D"/>
    <w:rsid w:val="002B1DC6"/>
    <w:rsid w:val="00350B70"/>
    <w:rsid w:val="00352352"/>
    <w:rsid w:val="00366A73"/>
    <w:rsid w:val="004238D8"/>
    <w:rsid w:val="00424476"/>
    <w:rsid w:val="004B2221"/>
    <w:rsid w:val="004D170A"/>
    <w:rsid w:val="00520545"/>
    <w:rsid w:val="005E5B63"/>
    <w:rsid w:val="00613392"/>
    <w:rsid w:val="00616B0B"/>
    <w:rsid w:val="00646B79"/>
    <w:rsid w:val="00656519"/>
    <w:rsid w:val="00674674"/>
    <w:rsid w:val="006802C0"/>
    <w:rsid w:val="00745A24"/>
    <w:rsid w:val="007F602D"/>
    <w:rsid w:val="008B64DE"/>
    <w:rsid w:val="008D1A2B"/>
    <w:rsid w:val="00A37146"/>
    <w:rsid w:val="00A6795B"/>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B70B38-2D5A-4832-B346-7286ED2BB71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12257AF-FC1E-4F8F-ABF9-DB6C45A45A60}">
      <dgm:prSet phldrT="[Text]"/>
      <dgm:spPr/>
      <dgm:t>
        <a:bodyPr/>
        <a:lstStyle/>
        <a:p>
          <a:r>
            <a:rPr lang="en-US"/>
            <a:t>Regional Marketing Director </a:t>
          </a:r>
        </a:p>
      </dgm:t>
    </dgm:pt>
    <dgm:pt modelId="{9169E7ED-310A-49FE-A564-75EFB57A214C}" type="parTrans" cxnId="{A5A025D5-A59E-40DF-922E-21A68E0A04AA}">
      <dgm:prSet/>
      <dgm:spPr/>
      <dgm:t>
        <a:bodyPr/>
        <a:lstStyle/>
        <a:p>
          <a:endParaRPr lang="en-US"/>
        </a:p>
      </dgm:t>
    </dgm:pt>
    <dgm:pt modelId="{AC28318C-E1F1-44B8-850A-B99F0FD31B64}" type="sibTrans" cxnId="{A5A025D5-A59E-40DF-922E-21A68E0A04AA}">
      <dgm:prSet/>
      <dgm:spPr/>
      <dgm:t>
        <a:bodyPr/>
        <a:lstStyle/>
        <a:p>
          <a:endParaRPr lang="en-US"/>
        </a:p>
      </dgm:t>
    </dgm:pt>
    <dgm:pt modelId="{DB3342B0-926E-4F1F-95B2-372AB8E97D05}">
      <dgm:prSet phldrT="[Text]"/>
      <dgm:spPr/>
      <dgm:t>
        <a:bodyPr/>
        <a:lstStyle/>
        <a:p>
          <a:r>
            <a:rPr lang="en-US"/>
            <a:t>Offer Adaptions Manager</a:t>
          </a:r>
        </a:p>
      </dgm:t>
    </dgm:pt>
    <dgm:pt modelId="{32DDC418-2C93-448A-8C7A-72AD03968F99}" type="parTrans" cxnId="{D0BA073A-1C19-43AC-8041-072830462DF2}">
      <dgm:prSet/>
      <dgm:spPr/>
      <dgm:t>
        <a:bodyPr/>
        <a:lstStyle/>
        <a:p>
          <a:endParaRPr lang="en-US"/>
        </a:p>
      </dgm:t>
    </dgm:pt>
    <dgm:pt modelId="{3F9DC942-E72B-4AC0-9DEE-CFE4B0D478C1}" type="sibTrans" cxnId="{D0BA073A-1C19-43AC-8041-072830462DF2}">
      <dgm:prSet/>
      <dgm:spPr/>
      <dgm:t>
        <a:bodyPr/>
        <a:lstStyle/>
        <a:p>
          <a:endParaRPr lang="en-US"/>
        </a:p>
      </dgm:t>
    </dgm:pt>
    <dgm:pt modelId="{C00804C3-29CE-4AB5-9015-25FC2D7D75E6}" type="pres">
      <dgm:prSet presAssocID="{1AB70B38-2D5A-4832-B346-7286ED2BB717}" presName="hierChild1" presStyleCnt="0">
        <dgm:presLayoutVars>
          <dgm:orgChart val="1"/>
          <dgm:chPref val="1"/>
          <dgm:dir/>
          <dgm:animOne val="branch"/>
          <dgm:animLvl val="lvl"/>
          <dgm:resizeHandles/>
        </dgm:presLayoutVars>
      </dgm:prSet>
      <dgm:spPr/>
      <dgm:t>
        <a:bodyPr/>
        <a:lstStyle/>
        <a:p>
          <a:endParaRPr lang="en-GB"/>
        </a:p>
      </dgm:t>
    </dgm:pt>
    <dgm:pt modelId="{EC833937-44E2-4D46-8613-2C9FC0C2875B}" type="pres">
      <dgm:prSet presAssocID="{912257AF-FC1E-4F8F-ABF9-DB6C45A45A60}" presName="hierRoot1" presStyleCnt="0">
        <dgm:presLayoutVars>
          <dgm:hierBranch val="init"/>
        </dgm:presLayoutVars>
      </dgm:prSet>
      <dgm:spPr/>
    </dgm:pt>
    <dgm:pt modelId="{FA82E362-477F-43E5-B454-639E251C0C62}" type="pres">
      <dgm:prSet presAssocID="{912257AF-FC1E-4F8F-ABF9-DB6C45A45A60}" presName="rootComposite1" presStyleCnt="0"/>
      <dgm:spPr/>
    </dgm:pt>
    <dgm:pt modelId="{299CE014-1805-45B5-956A-B68EDF8175AC}" type="pres">
      <dgm:prSet presAssocID="{912257AF-FC1E-4F8F-ABF9-DB6C45A45A60}" presName="rootText1" presStyleLbl="node0" presStyleIdx="0" presStyleCnt="1">
        <dgm:presLayoutVars>
          <dgm:chPref val="3"/>
        </dgm:presLayoutVars>
      </dgm:prSet>
      <dgm:spPr/>
      <dgm:t>
        <a:bodyPr/>
        <a:lstStyle/>
        <a:p>
          <a:endParaRPr lang="en-GB"/>
        </a:p>
      </dgm:t>
    </dgm:pt>
    <dgm:pt modelId="{3D5BAD0D-2DFD-4910-82AE-9A2B3E895B97}" type="pres">
      <dgm:prSet presAssocID="{912257AF-FC1E-4F8F-ABF9-DB6C45A45A60}" presName="rootConnector1" presStyleLbl="node1" presStyleIdx="0" presStyleCnt="0"/>
      <dgm:spPr/>
      <dgm:t>
        <a:bodyPr/>
        <a:lstStyle/>
        <a:p>
          <a:endParaRPr lang="en-GB"/>
        </a:p>
      </dgm:t>
    </dgm:pt>
    <dgm:pt modelId="{316511AE-0881-41C2-88F6-37EA3E1586E3}" type="pres">
      <dgm:prSet presAssocID="{912257AF-FC1E-4F8F-ABF9-DB6C45A45A60}" presName="hierChild2" presStyleCnt="0"/>
      <dgm:spPr/>
    </dgm:pt>
    <dgm:pt modelId="{53D29109-2E4F-4F87-BEDA-219F6833CBBE}" type="pres">
      <dgm:prSet presAssocID="{32DDC418-2C93-448A-8C7A-72AD03968F99}" presName="Name37" presStyleLbl="parChTrans1D2" presStyleIdx="0" presStyleCnt="1"/>
      <dgm:spPr/>
      <dgm:t>
        <a:bodyPr/>
        <a:lstStyle/>
        <a:p>
          <a:endParaRPr lang="en-GB"/>
        </a:p>
      </dgm:t>
    </dgm:pt>
    <dgm:pt modelId="{EA40691C-CC15-4756-AAC8-59C424428164}" type="pres">
      <dgm:prSet presAssocID="{DB3342B0-926E-4F1F-95B2-372AB8E97D05}" presName="hierRoot2" presStyleCnt="0">
        <dgm:presLayoutVars>
          <dgm:hierBranch val="init"/>
        </dgm:presLayoutVars>
      </dgm:prSet>
      <dgm:spPr/>
    </dgm:pt>
    <dgm:pt modelId="{4309C7FA-7F91-4046-B79D-65DE13E332C9}" type="pres">
      <dgm:prSet presAssocID="{DB3342B0-926E-4F1F-95B2-372AB8E97D05}" presName="rootComposite" presStyleCnt="0"/>
      <dgm:spPr/>
    </dgm:pt>
    <dgm:pt modelId="{1B1B162F-B507-4C2F-AE9D-7206211BB611}" type="pres">
      <dgm:prSet presAssocID="{DB3342B0-926E-4F1F-95B2-372AB8E97D05}" presName="rootText" presStyleLbl="node2" presStyleIdx="0" presStyleCnt="1">
        <dgm:presLayoutVars>
          <dgm:chPref val="3"/>
        </dgm:presLayoutVars>
      </dgm:prSet>
      <dgm:spPr/>
      <dgm:t>
        <a:bodyPr/>
        <a:lstStyle/>
        <a:p>
          <a:endParaRPr lang="en-GB"/>
        </a:p>
      </dgm:t>
    </dgm:pt>
    <dgm:pt modelId="{FFB8E418-B95E-4E5D-B7E7-83BC285DF47E}" type="pres">
      <dgm:prSet presAssocID="{DB3342B0-926E-4F1F-95B2-372AB8E97D05}" presName="rootConnector" presStyleLbl="node2" presStyleIdx="0" presStyleCnt="1"/>
      <dgm:spPr/>
      <dgm:t>
        <a:bodyPr/>
        <a:lstStyle/>
        <a:p>
          <a:endParaRPr lang="en-GB"/>
        </a:p>
      </dgm:t>
    </dgm:pt>
    <dgm:pt modelId="{65263E1E-2682-46C2-B5B1-6491783BF523}" type="pres">
      <dgm:prSet presAssocID="{DB3342B0-926E-4F1F-95B2-372AB8E97D05}" presName="hierChild4" presStyleCnt="0"/>
      <dgm:spPr/>
    </dgm:pt>
    <dgm:pt modelId="{391E1FB2-7ADA-47A2-B428-A2CF63C84291}" type="pres">
      <dgm:prSet presAssocID="{DB3342B0-926E-4F1F-95B2-372AB8E97D05}" presName="hierChild5" presStyleCnt="0"/>
      <dgm:spPr/>
    </dgm:pt>
    <dgm:pt modelId="{5F64A330-357C-4F64-A2BB-FE350CBA5CD2}" type="pres">
      <dgm:prSet presAssocID="{912257AF-FC1E-4F8F-ABF9-DB6C45A45A60}" presName="hierChild3" presStyleCnt="0"/>
      <dgm:spPr/>
    </dgm:pt>
  </dgm:ptLst>
  <dgm:cxnLst>
    <dgm:cxn modelId="{946EFE0D-C17D-44C3-BF98-798CD0084D07}" type="presOf" srcId="{912257AF-FC1E-4F8F-ABF9-DB6C45A45A60}" destId="{299CE014-1805-45B5-956A-B68EDF8175AC}" srcOrd="0" destOrd="0" presId="urn:microsoft.com/office/officeart/2005/8/layout/orgChart1"/>
    <dgm:cxn modelId="{A5A025D5-A59E-40DF-922E-21A68E0A04AA}" srcId="{1AB70B38-2D5A-4832-B346-7286ED2BB717}" destId="{912257AF-FC1E-4F8F-ABF9-DB6C45A45A60}" srcOrd="0" destOrd="0" parTransId="{9169E7ED-310A-49FE-A564-75EFB57A214C}" sibTransId="{AC28318C-E1F1-44B8-850A-B99F0FD31B64}"/>
    <dgm:cxn modelId="{89C216D5-2788-4AFD-B217-5A9219CB2319}" type="presOf" srcId="{1AB70B38-2D5A-4832-B346-7286ED2BB717}" destId="{C00804C3-29CE-4AB5-9015-25FC2D7D75E6}" srcOrd="0" destOrd="0" presId="urn:microsoft.com/office/officeart/2005/8/layout/orgChart1"/>
    <dgm:cxn modelId="{CEB6EF82-E3AE-4C7B-80D4-F55142B3B864}" type="presOf" srcId="{912257AF-FC1E-4F8F-ABF9-DB6C45A45A60}" destId="{3D5BAD0D-2DFD-4910-82AE-9A2B3E895B97}" srcOrd="1" destOrd="0" presId="urn:microsoft.com/office/officeart/2005/8/layout/orgChart1"/>
    <dgm:cxn modelId="{591DCCA8-572B-48BB-B415-4C9658072AEA}" type="presOf" srcId="{DB3342B0-926E-4F1F-95B2-372AB8E97D05}" destId="{1B1B162F-B507-4C2F-AE9D-7206211BB611}" srcOrd="0" destOrd="0" presId="urn:microsoft.com/office/officeart/2005/8/layout/orgChart1"/>
    <dgm:cxn modelId="{09EE7A4C-08EA-45F6-A790-209586889647}" type="presOf" srcId="{DB3342B0-926E-4F1F-95B2-372AB8E97D05}" destId="{FFB8E418-B95E-4E5D-B7E7-83BC285DF47E}" srcOrd="1" destOrd="0" presId="urn:microsoft.com/office/officeart/2005/8/layout/orgChart1"/>
    <dgm:cxn modelId="{D2AD4C59-0871-44D8-AD15-036A5FD0FD12}" type="presOf" srcId="{32DDC418-2C93-448A-8C7A-72AD03968F99}" destId="{53D29109-2E4F-4F87-BEDA-219F6833CBBE}" srcOrd="0" destOrd="0" presId="urn:microsoft.com/office/officeart/2005/8/layout/orgChart1"/>
    <dgm:cxn modelId="{D0BA073A-1C19-43AC-8041-072830462DF2}" srcId="{912257AF-FC1E-4F8F-ABF9-DB6C45A45A60}" destId="{DB3342B0-926E-4F1F-95B2-372AB8E97D05}" srcOrd="0" destOrd="0" parTransId="{32DDC418-2C93-448A-8C7A-72AD03968F99}" sibTransId="{3F9DC942-E72B-4AC0-9DEE-CFE4B0D478C1}"/>
    <dgm:cxn modelId="{0520DA8C-9684-4DE9-BC5F-3569D2559334}" type="presParOf" srcId="{C00804C3-29CE-4AB5-9015-25FC2D7D75E6}" destId="{EC833937-44E2-4D46-8613-2C9FC0C2875B}" srcOrd="0" destOrd="0" presId="urn:microsoft.com/office/officeart/2005/8/layout/orgChart1"/>
    <dgm:cxn modelId="{F07E102D-D356-4964-A98C-2D2FF12B3D54}" type="presParOf" srcId="{EC833937-44E2-4D46-8613-2C9FC0C2875B}" destId="{FA82E362-477F-43E5-B454-639E251C0C62}" srcOrd="0" destOrd="0" presId="urn:microsoft.com/office/officeart/2005/8/layout/orgChart1"/>
    <dgm:cxn modelId="{7A0BEAAC-C8B1-4F8D-9E24-73DE37AD1387}" type="presParOf" srcId="{FA82E362-477F-43E5-B454-639E251C0C62}" destId="{299CE014-1805-45B5-956A-B68EDF8175AC}" srcOrd="0" destOrd="0" presId="urn:microsoft.com/office/officeart/2005/8/layout/orgChart1"/>
    <dgm:cxn modelId="{98A414CA-0444-424B-861B-E05B3ADB5DF1}" type="presParOf" srcId="{FA82E362-477F-43E5-B454-639E251C0C62}" destId="{3D5BAD0D-2DFD-4910-82AE-9A2B3E895B97}" srcOrd="1" destOrd="0" presId="urn:microsoft.com/office/officeart/2005/8/layout/orgChart1"/>
    <dgm:cxn modelId="{3676DFF5-DB00-4EA8-BE4D-F8F3B55F9AD0}" type="presParOf" srcId="{EC833937-44E2-4D46-8613-2C9FC0C2875B}" destId="{316511AE-0881-41C2-88F6-37EA3E1586E3}" srcOrd="1" destOrd="0" presId="urn:microsoft.com/office/officeart/2005/8/layout/orgChart1"/>
    <dgm:cxn modelId="{52C1B02E-35C7-4033-82F4-2760D0C4655F}" type="presParOf" srcId="{316511AE-0881-41C2-88F6-37EA3E1586E3}" destId="{53D29109-2E4F-4F87-BEDA-219F6833CBBE}" srcOrd="0" destOrd="0" presId="urn:microsoft.com/office/officeart/2005/8/layout/orgChart1"/>
    <dgm:cxn modelId="{AF5CB0E6-5670-44E1-A9CE-7BD1DE01F806}" type="presParOf" srcId="{316511AE-0881-41C2-88F6-37EA3E1586E3}" destId="{EA40691C-CC15-4756-AAC8-59C424428164}" srcOrd="1" destOrd="0" presId="urn:microsoft.com/office/officeart/2005/8/layout/orgChart1"/>
    <dgm:cxn modelId="{E4909EE6-973B-4CCF-AE83-EFD12767FCCE}" type="presParOf" srcId="{EA40691C-CC15-4756-AAC8-59C424428164}" destId="{4309C7FA-7F91-4046-B79D-65DE13E332C9}" srcOrd="0" destOrd="0" presId="urn:microsoft.com/office/officeart/2005/8/layout/orgChart1"/>
    <dgm:cxn modelId="{6175CC48-E746-43CB-8D37-FEA6718BC9C0}" type="presParOf" srcId="{4309C7FA-7F91-4046-B79D-65DE13E332C9}" destId="{1B1B162F-B507-4C2F-AE9D-7206211BB611}" srcOrd="0" destOrd="0" presId="urn:microsoft.com/office/officeart/2005/8/layout/orgChart1"/>
    <dgm:cxn modelId="{8DCEC128-E4D0-43DF-8927-7ABC833384AB}" type="presParOf" srcId="{4309C7FA-7F91-4046-B79D-65DE13E332C9}" destId="{FFB8E418-B95E-4E5D-B7E7-83BC285DF47E}" srcOrd="1" destOrd="0" presId="urn:microsoft.com/office/officeart/2005/8/layout/orgChart1"/>
    <dgm:cxn modelId="{6F96DA70-24D3-4192-9297-65A4A0E37984}" type="presParOf" srcId="{EA40691C-CC15-4756-AAC8-59C424428164}" destId="{65263E1E-2682-46C2-B5B1-6491783BF523}" srcOrd="1" destOrd="0" presId="urn:microsoft.com/office/officeart/2005/8/layout/orgChart1"/>
    <dgm:cxn modelId="{36124F62-2756-458A-AFA0-F0F9575C03FC}" type="presParOf" srcId="{EA40691C-CC15-4756-AAC8-59C424428164}" destId="{391E1FB2-7ADA-47A2-B428-A2CF63C84291}" srcOrd="2" destOrd="0" presId="urn:microsoft.com/office/officeart/2005/8/layout/orgChart1"/>
    <dgm:cxn modelId="{D2CF109D-69CC-4354-9B96-7159142A8554}" type="presParOf" srcId="{EC833937-44E2-4D46-8613-2C9FC0C2875B}" destId="{5F64A330-357C-4F64-A2BB-FE350CBA5C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29109-2E4F-4F87-BEDA-219F6833CBBE}">
      <dsp:nvSpPr>
        <dsp:cNvPr id="0" name=""/>
        <dsp:cNvSpPr/>
      </dsp:nvSpPr>
      <dsp:spPr>
        <a:xfrm>
          <a:off x="2140267" y="602298"/>
          <a:ext cx="91440" cy="252728"/>
        </a:xfrm>
        <a:custGeom>
          <a:avLst/>
          <a:gdLst/>
          <a:ahLst/>
          <a:cxnLst/>
          <a:rect l="0" t="0" r="0" b="0"/>
          <a:pathLst>
            <a:path>
              <a:moveTo>
                <a:pt x="45720" y="0"/>
              </a:moveTo>
              <a:lnTo>
                <a:pt x="45720" y="2527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9CE014-1805-45B5-956A-B68EDF8175AC}">
      <dsp:nvSpPr>
        <dsp:cNvPr id="0" name=""/>
        <dsp:cNvSpPr/>
      </dsp:nvSpPr>
      <dsp:spPr>
        <a:xfrm>
          <a:off x="1584253" y="564"/>
          <a:ext cx="1203467" cy="60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Regional Marketing Director </a:t>
          </a:r>
        </a:p>
      </dsp:txBody>
      <dsp:txXfrm>
        <a:off x="1584253" y="564"/>
        <a:ext cx="1203467" cy="601733"/>
      </dsp:txXfrm>
    </dsp:sp>
    <dsp:sp modelId="{1B1B162F-B507-4C2F-AE9D-7206211BB611}">
      <dsp:nvSpPr>
        <dsp:cNvPr id="0" name=""/>
        <dsp:cNvSpPr/>
      </dsp:nvSpPr>
      <dsp:spPr>
        <a:xfrm>
          <a:off x="1584253" y="855026"/>
          <a:ext cx="1203467" cy="60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Offer Adaptions Manager</a:t>
          </a:r>
        </a:p>
      </dsp:txBody>
      <dsp:txXfrm>
        <a:off x="1584253" y="855026"/>
        <a:ext cx="1203467" cy="60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2018-10-24T09:49:00Z</dcterms:created>
  <dcterms:modified xsi:type="dcterms:W3CDTF">2018-10-24T09:49:00Z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