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8B0B20" w:rsidP="00345254">
      <w:pPr>
        <w:pStyle w:val="Texte2"/>
      </w:pPr>
      <w:r>
        <w:rPr>
          <w:noProof/>
          <w:lang w:eastAsia="en-GB"/>
        </w:rPr>
        <mc:AlternateContent>
          <mc:Choice Requires="wps">
            <w:drawing>
              <wp:anchor distT="0" distB="0" distL="114300" distR="114300" simplePos="0" relativeHeight="251666432" behindDoc="0" locked="0" layoutInCell="1" allowOverlap="1" wp14:anchorId="290FED0C" wp14:editId="63059C5B">
                <wp:simplePos x="0" y="0"/>
                <wp:positionH relativeFrom="column">
                  <wp:posOffset>-857479</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82C04">
                              <w:rPr>
                                <w:color w:val="FFFFFF"/>
                                <w:sz w:val="44"/>
                                <w:szCs w:val="44"/>
                                <w:lang w:val="en-AU"/>
                              </w:rPr>
                              <w:t>Seasonal</w:t>
                            </w:r>
                            <w:r w:rsidR="00FC45AD">
                              <w:rPr>
                                <w:color w:val="FFFFFF"/>
                                <w:sz w:val="44"/>
                                <w:szCs w:val="44"/>
                                <w:lang w:val="en-AU"/>
                              </w:rPr>
                              <w:t xml:space="preserve"> Commercial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67.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82C04">
                        <w:rPr>
                          <w:color w:val="FFFFFF"/>
                          <w:sz w:val="44"/>
                          <w:szCs w:val="44"/>
                          <w:lang w:val="en-AU"/>
                        </w:rPr>
                        <w:t>Seasonal</w:t>
                      </w:r>
                      <w:r w:rsidR="00FC45AD">
                        <w:rPr>
                          <w:color w:val="FFFFFF"/>
                          <w:sz w:val="44"/>
                          <w:szCs w:val="44"/>
                          <w:lang w:val="en-AU"/>
                        </w:rPr>
                        <w:t xml:space="preserve"> Commercial Assistant</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694C3555" wp14:editId="2BA6FBC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tbl>
      <w:tblPr>
        <w:tblpPr w:leftFromText="180" w:rightFromText="180" w:vertAnchor="text" w:horzAnchor="margin" w:tblpXSpec="center" w:tblpY="192"/>
        <w:tblW w:w="10458" w:type="dxa"/>
        <w:tblLayout w:type="fixed"/>
        <w:tblLook w:val="01E0" w:firstRow="1" w:lastRow="1" w:firstColumn="1" w:lastColumn="1" w:noHBand="0" w:noVBand="0"/>
      </w:tblPr>
      <w:tblGrid>
        <w:gridCol w:w="1008"/>
        <w:gridCol w:w="630"/>
        <w:gridCol w:w="1620"/>
        <w:gridCol w:w="394"/>
        <w:gridCol w:w="506"/>
        <w:gridCol w:w="810"/>
        <w:gridCol w:w="900"/>
        <w:gridCol w:w="1260"/>
        <w:gridCol w:w="540"/>
        <w:gridCol w:w="1800"/>
        <w:gridCol w:w="972"/>
        <w:gridCol w:w="18"/>
      </w:tblGrid>
      <w:tr w:rsidR="00366A73" w:rsidRPr="00315425" w:rsidTr="00182C04">
        <w:trPr>
          <w:trHeight w:val="387"/>
        </w:trPr>
        <w:tc>
          <w:tcPr>
            <w:tcW w:w="3258" w:type="dxa"/>
            <w:gridSpan w:val="3"/>
            <w:shd w:val="clear" w:color="auto" w:fill="F2F2F2" w:themeFill="background1" w:themeFillShade="F2"/>
            <w:vAlign w:val="center"/>
          </w:tcPr>
          <w:p w:rsidR="00366A73" w:rsidRPr="00315425" w:rsidRDefault="00366A73" w:rsidP="00366A73">
            <w:pPr>
              <w:jc w:val="left"/>
              <w:rPr>
                <w:rFonts w:cs="Arial"/>
                <w:sz w:val="4"/>
                <w:szCs w:val="20"/>
              </w:rPr>
            </w:pPr>
          </w:p>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vAlign w:val="center"/>
          </w:tcPr>
          <w:p w:rsidR="00366A73" w:rsidRPr="00876EDD" w:rsidRDefault="005067BC" w:rsidP="00161F93">
            <w:pPr>
              <w:spacing w:before="20" w:after="20"/>
              <w:jc w:val="left"/>
              <w:rPr>
                <w:rFonts w:cs="Arial"/>
                <w:color w:val="000000"/>
                <w:szCs w:val="20"/>
              </w:rPr>
            </w:pPr>
            <w:r>
              <w:rPr>
                <w:rFonts w:cs="Arial"/>
                <w:color w:val="000000"/>
                <w:szCs w:val="20"/>
              </w:rPr>
              <w:t>Finance</w:t>
            </w:r>
          </w:p>
        </w:tc>
      </w:tr>
      <w:tr w:rsidR="00366A73" w:rsidRPr="00315425" w:rsidTr="00182C04">
        <w:trPr>
          <w:trHeight w:val="387"/>
        </w:trPr>
        <w:tc>
          <w:tcPr>
            <w:tcW w:w="3258" w:type="dxa"/>
            <w:gridSpan w:val="3"/>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vAlign w:val="center"/>
          </w:tcPr>
          <w:p w:rsidR="00366A73" w:rsidRPr="00CC21AB" w:rsidRDefault="00182C04" w:rsidP="00FC45AD">
            <w:pPr>
              <w:pStyle w:val="Heading2"/>
              <w:rPr>
                <w:lang w:val="en-CA"/>
              </w:rPr>
            </w:pPr>
            <w:r>
              <w:rPr>
                <w:lang w:val="en-CA"/>
              </w:rPr>
              <w:t>Seasonal</w:t>
            </w:r>
            <w:r w:rsidR="00542578">
              <w:rPr>
                <w:lang w:val="en-CA"/>
              </w:rPr>
              <w:t xml:space="preserve"> </w:t>
            </w:r>
            <w:r w:rsidR="00FC45AD">
              <w:rPr>
                <w:lang w:val="en-CA"/>
              </w:rPr>
              <w:t>Commercial Assistant</w:t>
            </w:r>
          </w:p>
        </w:tc>
      </w:tr>
      <w:tr w:rsidR="00366A73" w:rsidRPr="00315425" w:rsidTr="00182C04">
        <w:trPr>
          <w:trHeight w:val="387"/>
        </w:trPr>
        <w:tc>
          <w:tcPr>
            <w:tcW w:w="3258" w:type="dxa"/>
            <w:gridSpan w:val="3"/>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vAlign w:val="center"/>
          </w:tcPr>
          <w:p w:rsidR="00366A73" w:rsidRPr="00876EDD" w:rsidRDefault="00182C04" w:rsidP="00161F93">
            <w:pPr>
              <w:spacing w:before="20" w:after="20"/>
              <w:jc w:val="left"/>
              <w:rPr>
                <w:rFonts w:cs="Arial"/>
                <w:color w:val="000000"/>
                <w:szCs w:val="20"/>
              </w:rPr>
            </w:pPr>
            <w:r>
              <w:rPr>
                <w:rFonts w:cs="Arial"/>
                <w:color w:val="000000"/>
                <w:szCs w:val="20"/>
              </w:rPr>
              <w:t>TBC</w:t>
            </w:r>
          </w:p>
        </w:tc>
      </w:tr>
      <w:tr w:rsidR="00366A73" w:rsidRPr="00315425" w:rsidTr="00182C04">
        <w:trPr>
          <w:trHeight w:val="387"/>
        </w:trPr>
        <w:tc>
          <w:tcPr>
            <w:tcW w:w="3258" w:type="dxa"/>
            <w:gridSpan w:val="3"/>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vAlign w:val="center"/>
          </w:tcPr>
          <w:p w:rsidR="00366A73" w:rsidRDefault="00182C04" w:rsidP="00161F93">
            <w:pPr>
              <w:spacing w:before="20" w:after="20"/>
              <w:jc w:val="left"/>
              <w:rPr>
                <w:rFonts w:cs="Arial"/>
                <w:color w:val="000000"/>
                <w:szCs w:val="20"/>
              </w:rPr>
            </w:pPr>
            <w:r>
              <w:rPr>
                <w:rFonts w:cs="Arial"/>
                <w:color w:val="000000"/>
                <w:szCs w:val="20"/>
              </w:rPr>
              <w:t>April 2017 – September 2017 (6 Months)</w:t>
            </w:r>
          </w:p>
        </w:tc>
      </w:tr>
      <w:tr w:rsidR="00366A73" w:rsidRPr="00315425" w:rsidTr="00182C04">
        <w:trPr>
          <w:trHeight w:val="387"/>
        </w:trPr>
        <w:tc>
          <w:tcPr>
            <w:tcW w:w="3258" w:type="dxa"/>
            <w:gridSpan w:val="3"/>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vAlign w:val="center"/>
          </w:tcPr>
          <w:p w:rsidR="00366A73" w:rsidRPr="00876EDD" w:rsidRDefault="00182C04" w:rsidP="00FC45AD">
            <w:pPr>
              <w:spacing w:before="20" w:after="20"/>
              <w:jc w:val="left"/>
              <w:rPr>
                <w:rFonts w:cs="Arial"/>
                <w:color w:val="000000"/>
                <w:szCs w:val="20"/>
              </w:rPr>
            </w:pPr>
            <w:r>
              <w:rPr>
                <w:rFonts w:cs="Arial"/>
                <w:color w:val="000000"/>
                <w:szCs w:val="20"/>
              </w:rPr>
              <w:t>Stewart Bennett</w:t>
            </w:r>
          </w:p>
        </w:tc>
      </w:tr>
      <w:tr w:rsidR="00366A73" w:rsidRPr="00315425" w:rsidTr="00182C04">
        <w:trPr>
          <w:trHeight w:val="387"/>
        </w:trPr>
        <w:tc>
          <w:tcPr>
            <w:tcW w:w="3258" w:type="dxa"/>
            <w:gridSpan w:val="3"/>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vAlign w:val="center"/>
          </w:tcPr>
          <w:p w:rsidR="00366A73" w:rsidRDefault="000F1018" w:rsidP="00366A73">
            <w:pPr>
              <w:spacing w:before="20" w:after="20"/>
              <w:jc w:val="left"/>
              <w:rPr>
                <w:rFonts w:cs="Arial"/>
                <w:color w:val="000000"/>
                <w:szCs w:val="20"/>
              </w:rPr>
            </w:pPr>
            <w:r>
              <w:rPr>
                <w:rFonts w:cs="Arial"/>
                <w:color w:val="000000"/>
                <w:szCs w:val="20"/>
              </w:rPr>
              <w:t>Graham Meek</w:t>
            </w:r>
          </w:p>
        </w:tc>
      </w:tr>
      <w:tr w:rsidR="00366A73" w:rsidRPr="00315425" w:rsidTr="00182C04">
        <w:trPr>
          <w:trHeight w:val="387"/>
        </w:trPr>
        <w:tc>
          <w:tcPr>
            <w:tcW w:w="3258" w:type="dxa"/>
            <w:gridSpan w:val="3"/>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vAlign w:val="center"/>
          </w:tcPr>
          <w:p w:rsidR="00366A73" w:rsidRDefault="00542578" w:rsidP="00161F93">
            <w:pPr>
              <w:spacing w:before="20" w:after="20"/>
              <w:jc w:val="left"/>
              <w:rPr>
                <w:rFonts w:cs="Arial"/>
                <w:color w:val="000000"/>
                <w:szCs w:val="20"/>
              </w:rPr>
            </w:pPr>
            <w:r>
              <w:rPr>
                <w:rFonts w:cs="Arial"/>
                <w:color w:val="000000"/>
                <w:szCs w:val="20"/>
              </w:rPr>
              <w:t>Ascot Racecourse</w:t>
            </w:r>
          </w:p>
        </w:tc>
      </w:tr>
      <w:tr w:rsidR="00366A73" w:rsidRPr="00315425" w:rsidTr="00182C04">
        <w:trPr>
          <w:gridAfter w:val="1"/>
          <w:wAfter w:w="18" w:type="dxa"/>
        </w:trPr>
        <w:tc>
          <w:tcPr>
            <w:tcW w:w="10440" w:type="dxa"/>
            <w:gridSpan w:val="11"/>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82C04">
        <w:trPr>
          <w:trHeight w:val="364"/>
        </w:trPr>
        <w:tc>
          <w:tcPr>
            <w:tcW w:w="10458" w:type="dxa"/>
            <w:gridSpan w:val="12"/>
            <w:shd w:val="clear" w:color="auto" w:fill="F2F2F2"/>
            <w:vAlign w:val="center"/>
          </w:tcPr>
          <w:p w:rsidR="00366A73" w:rsidRPr="002E304F" w:rsidRDefault="00366A73" w:rsidP="003950A6">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82C04">
        <w:trPr>
          <w:trHeight w:val="413"/>
        </w:trPr>
        <w:tc>
          <w:tcPr>
            <w:tcW w:w="10458" w:type="dxa"/>
            <w:gridSpan w:val="12"/>
            <w:vAlign w:val="center"/>
          </w:tcPr>
          <w:p w:rsidR="00AB3B41" w:rsidRDefault="00AB3B41" w:rsidP="00AB3B41">
            <w:pPr>
              <w:pStyle w:val="Puces4"/>
              <w:numPr>
                <w:ilvl w:val="0"/>
                <w:numId w:val="2"/>
              </w:numPr>
              <w:rPr>
                <w:color w:val="000000" w:themeColor="text1"/>
              </w:rPr>
            </w:pPr>
            <w:r>
              <w:rPr>
                <w:color w:val="000000" w:themeColor="text1"/>
              </w:rPr>
              <w:t xml:space="preserve">To assist the commercial </w:t>
            </w:r>
            <w:r w:rsidR="00385256">
              <w:rPr>
                <w:color w:val="000000" w:themeColor="text1"/>
              </w:rPr>
              <w:t>team</w:t>
            </w:r>
            <w:r>
              <w:rPr>
                <w:color w:val="000000" w:themeColor="text1"/>
              </w:rPr>
              <w:t xml:space="preserve"> in preparation </w:t>
            </w:r>
            <w:r w:rsidR="00385256">
              <w:rPr>
                <w:color w:val="000000" w:themeColor="text1"/>
              </w:rPr>
              <w:t>for</w:t>
            </w:r>
            <w:r>
              <w:rPr>
                <w:color w:val="000000" w:themeColor="text1"/>
              </w:rPr>
              <w:t xml:space="preserve"> race day</w:t>
            </w:r>
            <w:r w:rsidR="00385256">
              <w:rPr>
                <w:color w:val="000000" w:themeColor="text1"/>
              </w:rPr>
              <w:t xml:space="preserve">s </w:t>
            </w:r>
            <w:r w:rsidR="00525E71">
              <w:rPr>
                <w:color w:val="000000" w:themeColor="text1"/>
              </w:rPr>
              <w:t>(</w:t>
            </w:r>
            <w:r w:rsidR="00385256">
              <w:rPr>
                <w:color w:val="000000" w:themeColor="text1"/>
              </w:rPr>
              <w:t>including cash office set-up, till set-up</w:t>
            </w:r>
            <w:r w:rsidR="00525E71">
              <w:rPr>
                <w:color w:val="000000" w:themeColor="text1"/>
              </w:rPr>
              <w:t xml:space="preserve"> &amp; concessionaires) and providing race day back-of-house support to the cash office manager &amp; cost controller.</w:t>
            </w:r>
          </w:p>
          <w:p w:rsidR="00AB3B41" w:rsidRDefault="00AB3B41" w:rsidP="00AB3B41">
            <w:pPr>
              <w:pStyle w:val="Puces4"/>
              <w:numPr>
                <w:ilvl w:val="0"/>
                <w:numId w:val="2"/>
              </w:numPr>
              <w:rPr>
                <w:color w:val="000000" w:themeColor="text1"/>
              </w:rPr>
            </w:pPr>
            <w:r>
              <w:rPr>
                <w:color w:val="000000" w:themeColor="text1"/>
              </w:rPr>
              <w:t xml:space="preserve">To assist the </w:t>
            </w:r>
            <w:r w:rsidR="00525E71">
              <w:rPr>
                <w:color w:val="000000" w:themeColor="text1"/>
              </w:rPr>
              <w:t xml:space="preserve">finance manager with </w:t>
            </w:r>
            <w:r w:rsidR="0097404A">
              <w:rPr>
                <w:color w:val="000000" w:themeColor="text1"/>
              </w:rPr>
              <w:t>post-</w:t>
            </w:r>
            <w:r w:rsidR="00525E71">
              <w:rPr>
                <w:color w:val="000000" w:themeColor="text1"/>
              </w:rPr>
              <w:t>race activities (including concessionaire reports, invoicing</w:t>
            </w:r>
            <w:r w:rsidR="009453C1">
              <w:rPr>
                <w:color w:val="000000" w:themeColor="text1"/>
              </w:rPr>
              <w:t xml:space="preserve"> &amp; reconciliations)</w:t>
            </w:r>
          </w:p>
          <w:p w:rsidR="00745A24" w:rsidRPr="00F479E6" w:rsidRDefault="00AB3B41" w:rsidP="00AB3B41">
            <w:pPr>
              <w:pStyle w:val="Puces4"/>
              <w:numPr>
                <w:ilvl w:val="0"/>
                <w:numId w:val="2"/>
              </w:numPr>
              <w:rPr>
                <w:color w:val="000000" w:themeColor="text1"/>
              </w:rPr>
            </w:pPr>
            <w:r>
              <w:rPr>
                <w:color w:val="000000" w:themeColor="text1"/>
              </w:rPr>
              <w:t>Develop and maintain key relationships within the business.</w:t>
            </w:r>
          </w:p>
        </w:tc>
      </w:tr>
      <w:tr w:rsidR="00366A73" w:rsidRPr="00315425" w:rsidTr="00182C04">
        <w:trPr>
          <w:gridAfter w:val="1"/>
          <w:wAfter w:w="18" w:type="dxa"/>
        </w:trPr>
        <w:tc>
          <w:tcPr>
            <w:tcW w:w="10440" w:type="dxa"/>
            <w:gridSpan w:val="11"/>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82C04">
        <w:trPr>
          <w:trHeight w:val="394"/>
        </w:trPr>
        <w:tc>
          <w:tcPr>
            <w:tcW w:w="10458" w:type="dxa"/>
            <w:gridSpan w:val="12"/>
            <w:shd w:val="clear" w:color="auto" w:fill="F2F2F2"/>
            <w:vAlign w:val="center"/>
          </w:tcPr>
          <w:p w:rsidR="00366A73" w:rsidRPr="00315425" w:rsidRDefault="00366A73" w:rsidP="00FC45AD">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5067BC" w:rsidRPr="007C0E94" w:rsidTr="00182C04">
        <w:trPr>
          <w:trHeight w:val="232"/>
        </w:trPr>
        <w:tc>
          <w:tcPr>
            <w:tcW w:w="1008" w:type="dxa"/>
            <w:vMerge w:val="restart"/>
            <w:vAlign w:val="center"/>
          </w:tcPr>
          <w:p w:rsidR="005067BC" w:rsidRPr="007C0E94" w:rsidRDefault="005067BC" w:rsidP="00161F93">
            <w:pPr>
              <w:rPr>
                <w:sz w:val="18"/>
                <w:szCs w:val="18"/>
              </w:rPr>
            </w:pPr>
          </w:p>
        </w:tc>
        <w:tc>
          <w:tcPr>
            <w:tcW w:w="630" w:type="dxa"/>
            <w:vMerge w:val="restart"/>
            <w:vAlign w:val="center"/>
          </w:tcPr>
          <w:p w:rsidR="005067BC" w:rsidRPr="007C0E94" w:rsidRDefault="005067BC" w:rsidP="00161F93">
            <w:pPr>
              <w:rPr>
                <w:sz w:val="18"/>
                <w:szCs w:val="18"/>
              </w:rPr>
            </w:pPr>
          </w:p>
        </w:tc>
        <w:tc>
          <w:tcPr>
            <w:tcW w:w="2014" w:type="dxa"/>
            <w:gridSpan w:val="2"/>
            <w:vAlign w:val="center"/>
          </w:tcPr>
          <w:p w:rsidR="005067BC" w:rsidRPr="007C0E94" w:rsidRDefault="005067BC" w:rsidP="00161F93">
            <w:pPr>
              <w:rPr>
                <w:sz w:val="18"/>
                <w:szCs w:val="18"/>
              </w:rPr>
            </w:pPr>
          </w:p>
        </w:tc>
        <w:tc>
          <w:tcPr>
            <w:tcW w:w="506" w:type="dxa"/>
            <w:vAlign w:val="center"/>
          </w:tcPr>
          <w:p w:rsidR="005067BC" w:rsidRPr="007C0E94" w:rsidRDefault="005067BC" w:rsidP="00161F93">
            <w:pPr>
              <w:rPr>
                <w:sz w:val="18"/>
                <w:szCs w:val="18"/>
              </w:rPr>
            </w:pPr>
          </w:p>
        </w:tc>
        <w:tc>
          <w:tcPr>
            <w:tcW w:w="810" w:type="dxa"/>
            <w:vMerge w:val="restart"/>
            <w:vAlign w:val="center"/>
          </w:tcPr>
          <w:p w:rsidR="005067BC" w:rsidRPr="007C0E94" w:rsidRDefault="005067BC" w:rsidP="00161F93">
            <w:pPr>
              <w:rPr>
                <w:sz w:val="18"/>
                <w:szCs w:val="18"/>
              </w:rPr>
            </w:pPr>
          </w:p>
        </w:tc>
        <w:tc>
          <w:tcPr>
            <w:tcW w:w="900" w:type="dxa"/>
            <w:vMerge w:val="restart"/>
            <w:vAlign w:val="center"/>
          </w:tcPr>
          <w:p w:rsidR="005067BC" w:rsidRPr="007C0E94" w:rsidRDefault="005067BC" w:rsidP="00161F93">
            <w:pPr>
              <w:rPr>
                <w:sz w:val="18"/>
                <w:szCs w:val="18"/>
              </w:rPr>
            </w:pPr>
          </w:p>
        </w:tc>
        <w:tc>
          <w:tcPr>
            <w:tcW w:w="1260" w:type="dxa"/>
            <w:vMerge w:val="restart"/>
            <w:vAlign w:val="center"/>
          </w:tcPr>
          <w:p w:rsidR="005067BC" w:rsidRPr="007C0E94" w:rsidRDefault="005067BC" w:rsidP="00161F93">
            <w:pPr>
              <w:rPr>
                <w:sz w:val="18"/>
                <w:szCs w:val="18"/>
              </w:rPr>
            </w:pPr>
          </w:p>
        </w:tc>
        <w:tc>
          <w:tcPr>
            <w:tcW w:w="540" w:type="dxa"/>
            <w:vMerge w:val="restart"/>
            <w:vAlign w:val="center"/>
          </w:tcPr>
          <w:p w:rsidR="005067BC" w:rsidRPr="007C0E94" w:rsidRDefault="005067BC" w:rsidP="00161F93">
            <w:pPr>
              <w:rPr>
                <w:sz w:val="18"/>
                <w:szCs w:val="18"/>
              </w:rPr>
            </w:pPr>
          </w:p>
        </w:tc>
        <w:tc>
          <w:tcPr>
            <w:tcW w:w="1800" w:type="dxa"/>
            <w:vMerge w:val="restart"/>
            <w:vAlign w:val="center"/>
          </w:tcPr>
          <w:p w:rsidR="005067BC" w:rsidRPr="007C0E94" w:rsidRDefault="005067BC" w:rsidP="00161F93">
            <w:pPr>
              <w:rPr>
                <w:sz w:val="18"/>
                <w:szCs w:val="18"/>
              </w:rPr>
            </w:pPr>
          </w:p>
        </w:tc>
        <w:tc>
          <w:tcPr>
            <w:tcW w:w="990" w:type="dxa"/>
            <w:gridSpan w:val="2"/>
            <w:vMerge w:val="restart"/>
            <w:vAlign w:val="center"/>
          </w:tcPr>
          <w:p w:rsidR="005067BC" w:rsidRPr="007C0E94" w:rsidRDefault="005067BC" w:rsidP="00161F93">
            <w:pPr>
              <w:rPr>
                <w:sz w:val="18"/>
                <w:szCs w:val="18"/>
              </w:rPr>
            </w:pPr>
          </w:p>
        </w:tc>
      </w:tr>
      <w:tr w:rsidR="005067BC" w:rsidRPr="007C0E94" w:rsidTr="00182C04">
        <w:trPr>
          <w:trHeight w:val="263"/>
        </w:trPr>
        <w:tc>
          <w:tcPr>
            <w:tcW w:w="1008" w:type="dxa"/>
            <w:vMerge/>
            <w:vAlign w:val="center"/>
          </w:tcPr>
          <w:p w:rsidR="005067BC" w:rsidRPr="007C0E94" w:rsidRDefault="005067BC" w:rsidP="00161F93">
            <w:pPr>
              <w:rPr>
                <w:sz w:val="18"/>
                <w:szCs w:val="18"/>
              </w:rPr>
            </w:pPr>
          </w:p>
        </w:tc>
        <w:tc>
          <w:tcPr>
            <w:tcW w:w="630" w:type="dxa"/>
            <w:vMerge/>
            <w:vAlign w:val="center"/>
          </w:tcPr>
          <w:p w:rsidR="005067BC" w:rsidRPr="007C0E94" w:rsidRDefault="005067BC" w:rsidP="00161F93">
            <w:pPr>
              <w:rPr>
                <w:sz w:val="18"/>
                <w:szCs w:val="18"/>
              </w:rPr>
            </w:pPr>
          </w:p>
        </w:tc>
        <w:tc>
          <w:tcPr>
            <w:tcW w:w="2014" w:type="dxa"/>
            <w:gridSpan w:val="2"/>
          </w:tcPr>
          <w:p w:rsidR="005067BC" w:rsidRPr="007C0E94" w:rsidRDefault="005067BC" w:rsidP="00161F93">
            <w:pPr>
              <w:rPr>
                <w:sz w:val="18"/>
                <w:szCs w:val="18"/>
              </w:rPr>
            </w:pPr>
          </w:p>
        </w:tc>
        <w:tc>
          <w:tcPr>
            <w:tcW w:w="506" w:type="dxa"/>
            <w:vAlign w:val="center"/>
          </w:tcPr>
          <w:p w:rsidR="005067BC" w:rsidRPr="007C0E94" w:rsidRDefault="005067BC" w:rsidP="00161F93">
            <w:pPr>
              <w:rPr>
                <w:sz w:val="18"/>
                <w:szCs w:val="18"/>
              </w:rPr>
            </w:pPr>
          </w:p>
        </w:tc>
        <w:tc>
          <w:tcPr>
            <w:tcW w:w="810" w:type="dxa"/>
            <w:vMerge/>
            <w:vAlign w:val="center"/>
          </w:tcPr>
          <w:p w:rsidR="005067BC" w:rsidRPr="007C0E94" w:rsidRDefault="005067BC" w:rsidP="00161F93">
            <w:pPr>
              <w:rPr>
                <w:sz w:val="18"/>
                <w:szCs w:val="18"/>
              </w:rPr>
            </w:pPr>
          </w:p>
        </w:tc>
        <w:tc>
          <w:tcPr>
            <w:tcW w:w="900" w:type="dxa"/>
            <w:vMerge/>
            <w:vAlign w:val="center"/>
          </w:tcPr>
          <w:p w:rsidR="005067BC" w:rsidRPr="007C0E94" w:rsidRDefault="005067BC" w:rsidP="00161F93">
            <w:pPr>
              <w:rPr>
                <w:sz w:val="18"/>
                <w:szCs w:val="18"/>
              </w:rPr>
            </w:pPr>
          </w:p>
        </w:tc>
        <w:tc>
          <w:tcPr>
            <w:tcW w:w="1260" w:type="dxa"/>
            <w:vMerge/>
            <w:vAlign w:val="center"/>
          </w:tcPr>
          <w:p w:rsidR="005067BC" w:rsidRPr="007C0E94" w:rsidRDefault="005067BC" w:rsidP="00161F93">
            <w:pPr>
              <w:rPr>
                <w:sz w:val="18"/>
                <w:szCs w:val="18"/>
              </w:rPr>
            </w:pPr>
          </w:p>
        </w:tc>
        <w:tc>
          <w:tcPr>
            <w:tcW w:w="540" w:type="dxa"/>
            <w:vMerge/>
            <w:vAlign w:val="center"/>
          </w:tcPr>
          <w:p w:rsidR="005067BC" w:rsidRPr="007C0E94" w:rsidRDefault="005067BC" w:rsidP="00161F93">
            <w:pPr>
              <w:rPr>
                <w:sz w:val="18"/>
                <w:szCs w:val="18"/>
              </w:rPr>
            </w:pPr>
          </w:p>
        </w:tc>
        <w:tc>
          <w:tcPr>
            <w:tcW w:w="1800" w:type="dxa"/>
            <w:vMerge/>
            <w:vAlign w:val="center"/>
          </w:tcPr>
          <w:p w:rsidR="005067BC" w:rsidRPr="007C0E94" w:rsidRDefault="005067BC" w:rsidP="00161F93">
            <w:pPr>
              <w:rPr>
                <w:sz w:val="18"/>
                <w:szCs w:val="18"/>
              </w:rPr>
            </w:pPr>
          </w:p>
        </w:tc>
        <w:tc>
          <w:tcPr>
            <w:tcW w:w="990" w:type="dxa"/>
            <w:gridSpan w:val="2"/>
            <w:vMerge/>
            <w:vAlign w:val="center"/>
          </w:tcPr>
          <w:p w:rsidR="005067BC" w:rsidRPr="007C0E94" w:rsidRDefault="005067BC" w:rsidP="00161F93">
            <w:pPr>
              <w:rPr>
                <w:sz w:val="18"/>
                <w:szCs w:val="18"/>
              </w:rPr>
            </w:pPr>
          </w:p>
        </w:tc>
      </w:tr>
      <w:tr w:rsidR="005067BC" w:rsidRPr="007C0E94" w:rsidTr="00182C04">
        <w:trPr>
          <w:trHeight w:val="263"/>
        </w:trPr>
        <w:tc>
          <w:tcPr>
            <w:tcW w:w="1008" w:type="dxa"/>
            <w:vMerge/>
            <w:vAlign w:val="center"/>
          </w:tcPr>
          <w:p w:rsidR="005067BC" w:rsidRPr="007C0E94" w:rsidRDefault="005067BC" w:rsidP="00161F93">
            <w:pPr>
              <w:rPr>
                <w:sz w:val="18"/>
                <w:szCs w:val="18"/>
              </w:rPr>
            </w:pPr>
          </w:p>
        </w:tc>
        <w:tc>
          <w:tcPr>
            <w:tcW w:w="630" w:type="dxa"/>
            <w:vMerge/>
            <w:vAlign w:val="center"/>
          </w:tcPr>
          <w:p w:rsidR="005067BC" w:rsidRPr="007C0E94" w:rsidRDefault="005067BC" w:rsidP="00161F93">
            <w:pPr>
              <w:rPr>
                <w:sz w:val="18"/>
                <w:szCs w:val="18"/>
              </w:rPr>
            </w:pPr>
          </w:p>
        </w:tc>
        <w:tc>
          <w:tcPr>
            <w:tcW w:w="2014" w:type="dxa"/>
            <w:gridSpan w:val="2"/>
            <w:vAlign w:val="center"/>
          </w:tcPr>
          <w:p w:rsidR="005067BC" w:rsidRPr="007C0E94" w:rsidRDefault="005067BC" w:rsidP="00182C04">
            <w:pPr>
              <w:rPr>
                <w:sz w:val="18"/>
                <w:szCs w:val="18"/>
              </w:rPr>
            </w:pPr>
          </w:p>
        </w:tc>
        <w:tc>
          <w:tcPr>
            <w:tcW w:w="506" w:type="dxa"/>
            <w:vAlign w:val="center"/>
          </w:tcPr>
          <w:p w:rsidR="005067BC" w:rsidRPr="007C0E94" w:rsidRDefault="005067BC" w:rsidP="00161F93">
            <w:pPr>
              <w:rPr>
                <w:sz w:val="18"/>
                <w:szCs w:val="18"/>
              </w:rPr>
            </w:pPr>
          </w:p>
        </w:tc>
        <w:tc>
          <w:tcPr>
            <w:tcW w:w="810" w:type="dxa"/>
            <w:vMerge/>
            <w:vAlign w:val="center"/>
          </w:tcPr>
          <w:p w:rsidR="005067BC" w:rsidRPr="007C0E94" w:rsidRDefault="005067BC" w:rsidP="00161F93">
            <w:pPr>
              <w:rPr>
                <w:sz w:val="18"/>
                <w:szCs w:val="18"/>
              </w:rPr>
            </w:pPr>
          </w:p>
        </w:tc>
        <w:tc>
          <w:tcPr>
            <w:tcW w:w="900" w:type="dxa"/>
            <w:vMerge/>
            <w:vAlign w:val="center"/>
          </w:tcPr>
          <w:p w:rsidR="005067BC" w:rsidRPr="007C0E94" w:rsidRDefault="005067BC" w:rsidP="00161F93">
            <w:pPr>
              <w:rPr>
                <w:sz w:val="18"/>
                <w:szCs w:val="18"/>
              </w:rPr>
            </w:pPr>
          </w:p>
        </w:tc>
        <w:tc>
          <w:tcPr>
            <w:tcW w:w="1260" w:type="dxa"/>
            <w:vMerge w:val="restart"/>
            <w:vAlign w:val="center"/>
          </w:tcPr>
          <w:p w:rsidR="005067BC" w:rsidRPr="007C0E94" w:rsidRDefault="005067BC" w:rsidP="00161F93">
            <w:pPr>
              <w:rPr>
                <w:sz w:val="18"/>
                <w:szCs w:val="18"/>
              </w:rPr>
            </w:pPr>
          </w:p>
        </w:tc>
        <w:tc>
          <w:tcPr>
            <w:tcW w:w="540" w:type="dxa"/>
            <w:vMerge w:val="restart"/>
            <w:vAlign w:val="center"/>
          </w:tcPr>
          <w:p w:rsidR="005067BC" w:rsidRPr="007C0E94" w:rsidRDefault="005067BC" w:rsidP="00161F93">
            <w:pPr>
              <w:rPr>
                <w:sz w:val="18"/>
                <w:szCs w:val="18"/>
              </w:rPr>
            </w:pPr>
          </w:p>
        </w:tc>
        <w:tc>
          <w:tcPr>
            <w:tcW w:w="1800" w:type="dxa"/>
            <w:vMerge w:val="restart"/>
            <w:vAlign w:val="center"/>
          </w:tcPr>
          <w:p w:rsidR="005067BC" w:rsidRPr="008071F4" w:rsidRDefault="005067BC" w:rsidP="00161F93">
            <w:pPr>
              <w:rPr>
                <w:sz w:val="18"/>
                <w:szCs w:val="18"/>
              </w:rPr>
            </w:pPr>
          </w:p>
        </w:tc>
        <w:tc>
          <w:tcPr>
            <w:tcW w:w="990" w:type="dxa"/>
            <w:gridSpan w:val="2"/>
            <w:vMerge w:val="restart"/>
            <w:vAlign w:val="center"/>
          </w:tcPr>
          <w:p w:rsidR="005067BC" w:rsidRPr="007C0E94" w:rsidRDefault="005067BC" w:rsidP="00161F93">
            <w:pPr>
              <w:rPr>
                <w:sz w:val="18"/>
                <w:szCs w:val="18"/>
              </w:rPr>
            </w:pPr>
          </w:p>
        </w:tc>
      </w:tr>
      <w:tr w:rsidR="005067BC" w:rsidRPr="007C0E94" w:rsidTr="00182C04">
        <w:trPr>
          <w:trHeight w:val="218"/>
        </w:trPr>
        <w:tc>
          <w:tcPr>
            <w:tcW w:w="1008" w:type="dxa"/>
            <w:vMerge/>
            <w:vAlign w:val="center"/>
          </w:tcPr>
          <w:p w:rsidR="005067BC" w:rsidRPr="007C0E94" w:rsidRDefault="005067BC" w:rsidP="00161F93">
            <w:pPr>
              <w:rPr>
                <w:sz w:val="18"/>
                <w:szCs w:val="18"/>
              </w:rPr>
            </w:pPr>
          </w:p>
        </w:tc>
        <w:tc>
          <w:tcPr>
            <w:tcW w:w="630" w:type="dxa"/>
            <w:vMerge/>
            <w:vAlign w:val="center"/>
          </w:tcPr>
          <w:p w:rsidR="005067BC" w:rsidRPr="007C0E94" w:rsidRDefault="005067BC" w:rsidP="00161F93">
            <w:pPr>
              <w:rPr>
                <w:sz w:val="18"/>
                <w:szCs w:val="18"/>
              </w:rPr>
            </w:pPr>
          </w:p>
        </w:tc>
        <w:tc>
          <w:tcPr>
            <w:tcW w:w="2014" w:type="dxa"/>
            <w:gridSpan w:val="2"/>
            <w:vAlign w:val="center"/>
          </w:tcPr>
          <w:p w:rsidR="005067BC" w:rsidRPr="007C0E94" w:rsidRDefault="005067BC" w:rsidP="00161F93">
            <w:pPr>
              <w:rPr>
                <w:sz w:val="18"/>
                <w:szCs w:val="18"/>
              </w:rPr>
            </w:pPr>
          </w:p>
        </w:tc>
        <w:tc>
          <w:tcPr>
            <w:tcW w:w="506" w:type="dxa"/>
            <w:vAlign w:val="center"/>
          </w:tcPr>
          <w:p w:rsidR="005067BC" w:rsidRPr="007C0E94" w:rsidRDefault="005067BC" w:rsidP="00161F93">
            <w:pPr>
              <w:rPr>
                <w:sz w:val="18"/>
                <w:szCs w:val="18"/>
              </w:rPr>
            </w:pPr>
          </w:p>
        </w:tc>
        <w:tc>
          <w:tcPr>
            <w:tcW w:w="810" w:type="dxa"/>
            <w:vMerge/>
            <w:vAlign w:val="center"/>
          </w:tcPr>
          <w:p w:rsidR="005067BC" w:rsidRPr="007C0E94" w:rsidRDefault="005067BC" w:rsidP="00161F93">
            <w:pPr>
              <w:rPr>
                <w:sz w:val="18"/>
                <w:szCs w:val="18"/>
              </w:rPr>
            </w:pPr>
          </w:p>
        </w:tc>
        <w:tc>
          <w:tcPr>
            <w:tcW w:w="900" w:type="dxa"/>
            <w:vMerge/>
            <w:vAlign w:val="center"/>
          </w:tcPr>
          <w:p w:rsidR="005067BC" w:rsidRPr="007C0E94" w:rsidRDefault="005067BC" w:rsidP="00161F93">
            <w:pPr>
              <w:rPr>
                <w:sz w:val="18"/>
                <w:szCs w:val="18"/>
              </w:rPr>
            </w:pPr>
          </w:p>
        </w:tc>
        <w:tc>
          <w:tcPr>
            <w:tcW w:w="1260" w:type="dxa"/>
            <w:vMerge/>
            <w:vAlign w:val="center"/>
          </w:tcPr>
          <w:p w:rsidR="005067BC" w:rsidRPr="007C0E94" w:rsidRDefault="005067BC" w:rsidP="00161F93">
            <w:pPr>
              <w:rPr>
                <w:sz w:val="18"/>
                <w:szCs w:val="18"/>
              </w:rPr>
            </w:pPr>
          </w:p>
        </w:tc>
        <w:tc>
          <w:tcPr>
            <w:tcW w:w="540" w:type="dxa"/>
            <w:vMerge/>
            <w:vAlign w:val="center"/>
          </w:tcPr>
          <w:p w:rsidR="005067BC" w:rsidRPr="007C0E94" w:rsidRDefault="005067BC" w:rsidP="00161F93">
            <w:pPr>
              <w:rPr>
                <w:sz w:val="18"/>
                <w:szCs w:val="18"/>
              </w:rPr>
            </w:pPr>
          </w:p>
        </w:tc>
        <w:tc>
          <w:tcPr>
            <w:tcW w:w="1800" w:type="dxa"/>
            <w:vMerge/>
            <w:vAlign w:val="center"/>
          </w:tcPr>
          <w:p w:rsidR="005067BC" w:rsidRPr="007C0E94" w:rsidRDefault="005067BC" w:rsidP="00161F93">
            <w:pPr>
              <w:rPr>
                <w:sz w:val="18"/>
                <w:szCs w:val="18"/>
              </w:rPr>
            </w:pPr>
          </w:p>
        </w:tc>
        <w:tc>
          <w:tcPr>
            <w:tcW w:w="990" w:type="dxa"/>
            <w:gridSpan w:val="2"/>
            <w:vMerge/>
            <w:vAlign w:val="center"/>
          </w:tcPr>
          <w:p w:rsidR="005067BC" w:rsidRPr="007C0E94" w:rsidRDefault="005067BC" w:rsidP="00161F93">
            <w:pPr>
              <w:rPr>
                <w:sz w:val="18"/>
                <w:szCs w:val="18"/>
              </w:rPr>
            </w:pPr>
          </w:p>
        </w:tc>
      </w:tr>
    </w:tbl>
    <w:p w:rsidR="00366A73" w:rsidRPr="006658E1" w:rsidRDefault="008B0B20"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908429E" wp14:editId="6CF05DCB">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6"/>
      </w:tblGrid>
      <w:tr w:rsidR="00366A73" w:rsidRPr="00315425" w:rsidTr="003950A6">
        <w:trPr>
          <w:trHeight w:val="403"/>
        </w:trPr>
        <w:tc>
          <w:tcPr>
            <w:tcW w:w="9546"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950A6">
        <w:trPr>
          <w:trHeight w:val="4243"/>
        </w:trPr>
        <w:tc>
          <w:tcPr>
            <w:tcW w:w="9546"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Pr="00D376CF" w:rsidRDefault="00FC45AD" w:rsidP="003950A6">
            <w:pPr>
              <w:spacing w:after="40"/>
              <w:jc w:val="center"/>
              <w:rPr>
                <w:rFonts w:cs="Arial"/>
                <w:sz w:val="14"/>
                <w:szCs w:val="20"/>
              </w:rPr>
            </w:pPr>
            <w:r>
              <w:rPr>
                <w:rFonts w:cs="Arial"/>
                <w:noProof/>
                <w:sz w:val="4"/>
                <w:szCs w:val="20"/>
                <w:lang w:val="en-GB" w:eastAsia="en-GB"/>
              </w:rPr>
              <w:drawing>
                <wp:inline distT="0" distB="0" distL="0" distR="0" wp14:anchorId="5857963E" wp14:editId="332BAA88">
                  <wp:extent cx="4389120" cy="212872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5657" cy="2127046"/>
                          </a:xfrm>
                          <a:prstGeom prst="rect">
                            <a:avLst/>
                          </a:prstGeom>
                          <a:noFill/>
                        </pic:spPr>
                      </pic:pic>
                    </a:graphicData>
                  </a:graphic>
                </wp:inline>
              </w:drawing>
            </w:r>
          </w:p>
        </w:tc>
      </w:tr>
    </w:tbl>
    <w:p w:rsidR="00366A73" w:rsidRDefault="00366A73" w:rsidP="00366A73">
      <w:pPr>
        <w:jc w:val="left"/>
        <w:rPr>
          <w:rFonts w:cs="Arial"/>
        </w:rPr>
      </w:pPr>
    </w:p>
    <w:p w:rsidR="00FC45AD" w:rsidRDefault="00FC45AD" w:rsidP="00366A73">
      <w:pPr>
        <w:jc w:val="left"/>
        <w:rPr>
          <w:rFonts w:cs="Arial"/>
          <w:vanish/>
        </w:rPr>
      </w:pPr>
      <w:bookmarkStart w:id="0" w:name="_GoBack"/>
      <w:bookmarkEnd w:id="0"/>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2E339A" w:rsidP="00D56F12">
            <w:pPr>
              <w:numPr>
                <w:ilvl w:val="0"/>
                <w:numId w:val="3"/>
              </w:numPr>
              <w:spacing w:before="40" w:after="40"/>
              <w:jc w:val="left"/>
              <w:rPr>
                <w:rFonts w:cs="Arial"/>
                <w:color w:val="FF0000"/>
                <w:szCs w:val="20"/>
              </w:rPr>
            </w:pPr>
            <w:r>
              <w:rPr>
                <w:rFonts w:cs="Arial"/>
                <w:color w:val="000000" w:themeColor="text1"/>
                <w:szCs w:val="20"/>
              </w:rPr>
              <w:t xml:space="preserve">To assist in the preparation for racing, </w:t>
            </w:r>
            <w:r w:rsidR="009453C1">
              <w:rPr>
                <w:rFonts w:cs="Arial"/>
                <w:color w:val="000000" w:themeColor="text1"/>
                <w:szCs w:val="20"/>
              </w:rPr>
              <w:t>including cash office &amp; till set-up</w:t>
            </w:r>
            <w:r w:rsidR="003E57DA">
              <w:rPr>
                <w:rFonts w:cs="Arial"/>
                <w:color w:val="000000" w:themeColor="text1"/>
                <w:szCs w:val="20"/>
              </w:rPr>
              <w:t>.</w:t>
            </w:r>
          </w:p>
          <w:p w:rsidR="00745A24" w:rsidRPr="00890EDC" w:rsidRDefault="00D56F12" w:rsidP="00D56F12">
            <w:pPr>
              <w:numPr>
                <w:ilvl w:val="0"/>
                <w:numId w:val="3"/>
              </w:numPr>
              <w:spacing w:before="40" w:after="40"/>
              <w:jc w:val="left"/>
              <w:rPr>
                <w:rFonts w:cs="Arial"/>
                <w:color w:val="FF0000"/>
                <w:szCs w:val="20"/>
              </w:rPr>
            </w:pPr>
            <w:r>
              <w:rPr>
                <w:rFonts w:cs="Arial"/>
                <w:color w:val="000000" w:themeColor="text1"/>
                <w:szCs w:val="20"/>
              </w:rPr>
              <w:t>To take ownership of the concessionaire process, including pre-race set-up, on the day payments from concessionaires &amp; post-race reporting</w:t>
            </w:r>
          </w:p>
          <w:p w:rsidR="003E57DA" w:rsidRPr="00890EDC" w:rsidRDefault="003E57DA" w:rsidP="00D56F12">
            <w:pPr>
              <w:numPr>
                <w:ilvl w:val="0"/>
                <w:numId w:val="3"/>
              </w:numPr>
              <w:spacing w:before="40" w:after="40"/>
              <w:jc w:val="left"/>
              <w:rPr>
                <w:rFonts w:cs="Arial"/>
                <w:color w:val="FF0000"/>
                <w:szCs w:val="20"/>
              </w:rPr>
            </w:pPr>
            <w:r>
              <w:rPr>
                <w:rFonts w:cs="Arial"/>
                <w:color w:val="000000" w:themeColor="text1"/>
                <w:szCs w:val="20"/>
              </w:rPr>
              <w:t xml:space="preserve">To assist with all aspects of </w:t>
            </w:r>
            <w:r w:rsidR="00D56F12">
              <w:rPr>
                <w:rFonts w:cs="Arial"/>
                <w:color w:val="000000" w:themeColor="text1"/>
                <w:szCs w:val="20"/>
              </w:rPr>
              <w:t>the commercial department as required</w:t>
            </w:r>
          </w:p>
          <w:p w:rsidR="00D56F12" w:rsidRDefault="00D56F12" w:rsidP="00D56F12">
            <w:pPr>
              <w:numPr>
                <w:ilvl w:val="0"/>
                <w:numId w:val="3"/>
              </w:numPr>
              <w:spacing w:before="40" w:after="40"/>
              <w:jc w:val="left"/>
              <w:rPr>
                <w:rFonts w:cs="Arial"/>
                <w:color w:val="FF0000"/>
                <w:szCs w:val="20"/>
              </w:rPr>
            </w:pPr>
            <w:r>
              <w:rPr>
                <w:rFonts w:cs="Arial"/>
                <w:szCs w:val="20"/>
              </w:rPr>
              <w:t>Working long race days particularly during Royal Ascot</w:t>
            </w:r>
          </w:p>
          <w:p w:rsidR="00890EDC" w:rsidRPr="00C4695A" w:rsidRDefault="00890EDC" w:rsidP="00890EDC">
            <w:pPr>
              <w:spacing w:before="40" w:after="4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D56F12" w:rsidP="002B1DC6">
            <w:pPr>
              <w:pStyle w:val="ListParagraph"/>
              <w:numPr>
                <w:ilvl w:val="0"/>
                <w:numId w:val="14"/>
              </w:numPr>
              <w:rPr>
                <w:rFonts w:cs="Arial"/>
                <w:color w:val="000000" w:themeColor="text1"/>
                <w:szCs w:val="20"/>
                <w:lang w:val="en-GB"/>
              </w:rPr>
            </w:pPr>
            <w:r>
              <w:rPr>
                <w:rFonts w:cs="Arial"/>
                <w:color w:val="000000" w:themeColor="text1"/>
                <w:szCs w:val="20"/>
                <w:lang w:val="en-GB"/>
              </w:rPr>
              <w:t>Supporting cash office manager with pre-race day preparations</w:t>
            </w:r>
          </w:p>
          <w:p w:rsidR="003E57DA" w:rsidRDefault="00D56F12" w:rsidP="002B1DC6">
            <w:pPr>
              <w:pStyle w:val="ListParagraph"/>
              <w:numPr>
                <w:ilvl w:val="0"/>
                <w:numId w:val="14"/>
              </w:numPr>
              <w:rPr>
                <w:rFonts w:cs="Arial"/>
                <w:color w:val="000000" w:themeColor="text1"/>
                <w:szCs w:val="20"/>
                <w:lang w:val="en-GB"/>
              </w:rPr>
            </w:pPr>
            <w:r>
              <w:rPr>
                <w:rFonts w:cs="Arial"/>
                <w:color w:val="000000" w:themeColor="text1"/>
                <w:szCs w:val="20"/>
                <w:lang w:val="en-GB"/>
              </w:rPr>
              <w:t>Supporting cost controller with pre-race day till set-up</w:t>
            </w:r>
          </w:p>
          <w:p w:rsidR="00745A24" w:rsidRDefault="00D56F12"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Providing race-day back-of-house support in the cash office – primarily assisting the cash office manager in managing the cash-office </w:t>
            </w:r>
            <w:r w:rsidR="000E78CD">
              <w:rPr>
                <w:rFonts w:cs="Arial"/>
                <w:color w:val="000000" w:themeColor="text1"/>
                <w:szCs w:val="20"/>
                <w:lang w:val="en-GB"/>
              </w:rPr>
              <w:t>casual staff</w:t>
            </w:r>
          </w:p>
          <w:p w:rsidR="003E57DA" w:rsidRDefault="000E78CD" w:rsidP="002B1DC6">
            <w:pPr>
              <w:pStyle w:val="ListParagraph"/>
              <w:numPr>
                <w:ilvl w:val="0"/>
                <w:numId w:val="14"/>
              </w:numPr>
              <w:rPr>
                <w:rFonts w:cs="Arial"/>
                <w:color w:val="000000" w:themeColor="text1"/>
                <w:szCs w:val="20"/>
                <w:lang w:val="en-GB"/>
              </w:rPr>
            </w:pPr>
            <w:r>
              <w:rPr>
                <w:rFonts w:cs="Arial"/>
                <w:color w:val="000000" w:themeColor="text1"/>
                <w:szCs w:val="20"/>
                <w:lang w:val="en-GB"/>
              </w:rPr>
              <w:t>Managing the commercial aspects of the concessionaire process (pre-race, race-day &amp; post-race activities)</w:t>
            </w:r>
          </w:p>
          <w:p w:rsidR="003E57DA" w:rsidRDefault="000E78CD" w:rsidP="002B1DC6">
            <w:pPr>
              <w:pStyle w:val="ListParagraph"/>
              <w:numPr>
                <w:ilvl w:val="0"/>
                <w:numId w:val="14"/>
              </w:numPr>
              <w:rPr>
                <w:rFonts w:cs="Arial"/>
                <w:color w:val="000000" w:themeColor="text1"/>
                <w:szCs w:val="20"/>
                <w:lang w:val="en-GB"/>
              </w:rPr>
            </w:pPr>
            <w:r>
              <w:rPr>
                <w:rFonts w:cs="Arial"/>
                <w:color w:val="000000" w:themeColor="text1"/>
                <w:szCs w:val="20"/>
                <w:lang w:val="en-GB"/>
              </w:rPr>
              <w:t>Assist with post-race activities – including reporting &amp; invoicing</w:t>
            </w:r>
          </w:p>
          <w:p w:rsidR="00963B26" w:rsidRDefault="00963B26" w:rsidP="002B1DC6">
            <w:pPr>
              <w:pStyle w:val="ListParagraph"/>
              <w:numPr>
                <w:ilvl w:val="0"/>
                <w:numId w:val="14"/>
              </w:numPr>
              <w:rPr>
                <w:rFonts w:cs="Arial"/>
                <w:color w:val="000000" w:themeColor="text1"/>
                <w:szCs w:val="20"/>
                <w:lang w:val="en-GB"/>
              </w:rPr>
            </w:pPr>
            <w:r>
              <w:rPr>
                <w:rFonts w:cs="Arial"/>
                <w:color w:val="000000" w:themeColor="text1"/>
                <w:szCs w:val="20"/>
                <w:lang w:val="en-GB"/>
              </w:rPr>
              <w:t>Any other reasonable request or duty that is required to support the commercial function.</w:t>
            </w:r>
          </w:p>
          <w:p w:rsidR="00745A24" w:rsidRPr="003E57DA" w:rsidRDefault="00745A24" w:rsidP="003E57DA">
            <w:pPr>
              <w:rPr>
                <w:rFonts w:cs="Arial"/>
                <w:color w:val="000000" w:themeColor="text1"/>
                <w:szCs w:val="20"/>
                <w:lang w:val="en-GB"/>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47216" w:rsidRPr="00347216" w:rsidRDefault="00890EDC" w:rsidP="0034721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Ensure accurate completion of </w:t>
            </w:r>
            <w:r w:rsidR="000E78CD">
              <w:rPr>
                <w:rFonts w:cs="Arial"/>
                <w:color w:val="000000" w:themeColor="text1"/>
                <w:szCs w:val="20"/>
                <w:lang w:val="en-GB"/>
              </w:rPr>
              <w:t>the concessionaire payment details on race-days</w:t>
            </w:r>
          </w:p>
          <w:p w:rsidR="00745A24" w:rsidRDefault="000E78C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Post-race invoicing is completed accurately and timely – vouchers are tallied accurately and billed correctly</w:t>
            </w:r>
          </w:p>
          <w:p w:rsidR="003E57DA" w:rsidRDefault="000E78CD"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Proficient knowledge of EPOS &amp; till set-up – able to reach a point where EPOS &amp; till set-up is managed with limited assistance from cost controller </w:t>
            </w:r>
          </w:p>
          <w:p w:rsidR="00745A24" w:rsidRPr="00424476" w:rsidRDefault="00745A24" w:rsidP="003E57DA">
            <w:pPr>
              <w:spacing w:before="4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156B20" w:rsidP="004238D8">
            <w:pPr>
              <w:pStyle w:val="Puces4"/>
              <w:numPr>
                <w:ilvl w:val="0"/>
                <w:numId w:val="3"/>
              </w:numPr>
            </w:pPr>
            <w:r>
              <w:t>Working knowledge of standard accounts practi</w:t>
            </w:r>
            <w:r w:rsidR="000E78CD">
              <w:t>c</w:t>
            </w:r>
            <w:r>
              <w:t>e.</w:t>
            </w:r>
          </w:p>
          <w:p w:rsidR="004238D8" w:rsidRDefault="00156B20" w:rsidP="004238D8">
            <w:pPr>
              <w:pStyle w:val="Puces4"/>
              <w:numPr>
                <w:ilvl w:val="0"/>
                <w:numId w:val="3"/>
              </w:numPr>
            </w:pPr>
            <w:r>
              <w:t xml:space="preserve">Good knowledge of Microsoft </w:t>
            </w:r>
            <w:proofErr w:type="gramStart"/>
            <w:r>
              <w:t>excel</w:t>
            </w:r>
            <w:proofErr w:type="gramEnd"/>
            <w:r>
              <w:t xml:space="preserve"> and word.</w:t>
            </w:r>
          </w:p>
          <w:p w:rsidR="00EA3990" w:rsidRPr="004238D8" w:rsidRDefault="00156B20" w:rsidP="005067BC">
            <w:pPr>
              <w:pStyle w:val="Puces4"/>
              <w:numPr>
                <w:ilvl w:val="0"/>
                <w:numId w:val="3"/>
              </w:numPr>
            </w:pPr>
            <w:r>
              <w:t>Previous experience of a retail and cash environment</w:t>
            </w:r>
            <w:r w:rsidR="004238D8">
              <w:t>.</w:t>
            </w:r>
          </w:p>
        </w:tc>
      </w:tr>
    </w:tbl>
    <w:p w:rsidR="007F02BF" w:rsidRDefault="00FC45AD" w:rsidP="00086FFE">
      <w:pPr>
        <w:jc w:val="left"/>
      </w:pPr>
    </w:p>
    <w:p w:rsidR="00963B26" w:rsidRDefault="00963B26" w:rsidP="00086FFE">
      <w:pPr>
        <w:jc w:val="left"/>
      </w:pPr>
    </w:p>
    <w:p w:rsidR="00963B26" w:rsidRDefault="00963B26" w:rsidP="00086FFE">
      <w:pPr>
        <w:jc w:val="left"/>
      </w:pPr>
    </w:p>
    <w:p w:rsidR="00963B26" w:rsidRDefault="00963B26" w:rsidP="00086FFE">
      <w:pPr>
        <w:jc w:val="left"/>
      </w:pPr>
    </w:p>
    <w:p w:rsidR="00963B26" w:rsidRDefault="00963B26" w:rsidP="00086FFE">
      <w:pPr>
        <w:jc w:val="left"/>
      </w:pPr>
    </w:p>
    <w:p w:rsidR="00156B20" w:rsidRDefault="00156B20" w:rsidP="00086FFE">
      <w:pPr>
        <w:jc w:val="left"/>
      </w:pPr>
    </w:p>
    <w:p w:rsidR="0097404A" w:rsidRDefault="0097404A" w:rsidP="00086FFE">
      <w:pPr>
        <w:jc w:val="left"/>
      </w:pPr>
    </w:p>
    <w:p w:rsidR="0097404A" w:rsidRDefault="0097404A" w:rsidP="00086FFE">
      <w:pPr>
        <w:jc w:val="left"/>
      </w:pPr>
    </w:p>
    <w:p w:rsidR="00156B20" w:rsidRDefault="00156B20" w:rsidP="00086FFE">
      <w:pPr>
        <w:jc w:val="left"/>
      </w:pPr>
    </w:p>
    <w:p w:rsidR="009B22F2" w:rsidRDefault="009B22F2" w:rsidP="00086FFE">
      <w:pPr>
        <w:jc w:val="left"/>
      </w:pPr>
    </w:p>
    <w:p w:rsidR="00963B26" w:rsidRDefault="00963B26" w:rsidP="00086FFE">
      <w:pPr>
        <w:jc w:val="left"/>
      </w:pPr>
    </w:p>
    <w:p w:rsidR="00963B26" w:rsidRDefault="00963B26"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Pr="00963B26" w:rsidRDefault="00EA3990" w:rsidP="00963B26">
            <w:pPr>
              <w:spacing w:before="40"/>
              <w:ind w:left="108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C45AD">
                  <w:pPr>
                    <w:pStyle w:val="Puces4"/>
                    <w:framePr w:hSpace="180" w:wrap="around" w:vAnchor="text" w:hAnchor="margin" w:xAlign="center" w:y="192"/>
                    <w:numPr>
                      <w:ilvl w:val="0"/>
                      <w:numId w:val="20"/>
                    </w:numPr>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FC45AD">
                  <w:pPr>
                    <w:pStyle w:val="Puces4"/>
                    <w:framePr w:hSpace="180" w:wrap="around" w:vAnchor="text" w:hAnchor="margin" w:xAlign="center" w:y="192"/>
                    <w:numPr>
                      <w:ilvl w:val="0"/>
                      <w:numId w:val="20"/>
                    </w:numPr>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FC45AD">
                  <w:pPr>
                    <w:pStyle w:val="Puces4"/>
                    <w:framePr w:hSpace="180" w:wrap="around" w:vAnchor="text" w:hAnchor="margin" w:xAlign="center" w:y="192"/>
                    <w:numPr>
                      <w:ilvl w:val="0"/>
                      <w:numId w:val="20"/>
                    </w:numPr>
                    <w:rPr>
                      <w:rFonts w:eastAsia="Times New Roman"/>
                    </w:rPr>
                  </w:pPr>
                  <w:r>
                    <w:rPr>
                      <w:rFonts w:eastAsia="Times New Roman"/>
                    </w:rPr>
                    <w:t>Rigorous management of results</w:t>
                  </w:r>
                </w:p>
              </w:tc>
              <w:tc>
                <w:tcPr>
                  <w:tcW w:w="4524" w:type="dxa"/>
                </w:tcPr>
                <w:p w:rsidR="00963B26" w:rsidRPr="00375F11" w:rsidRDefault="00EA3990" w:rsidP="00FC45AD">
                  <w:pPr>
                    <w:pStyle w:val="Puces4"/>
                    <w:framePr w:hSpace="180" w:wrap="around" w:vAnchor="text" w:hAnchor="margin" w:xAlign="center" w:y="192"/>
                    <w:numPr>
                      <w:ilvl w:val="0"/>
                      <w:numId w:val="20"/>
                    </w:numPr>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FC45AD">
                  <w:pPr>
                    <w:pStyle w:val="Puces4"/>
                    <w:framePr w:hSpace="180" w:wrap="around" w:vAnchor="text" w:hAnchor="margin" w:xAlign="center" w:y="192"/>
                    <w:numPr>
                      <w:ilvl w:val="0"/>
                      <w:numId w:val="20"/>
                    </w:numPr>
                    <w:rPr>
                      <w:rFonts w:eastAsia="Times New Roman"/>
                    </w:rPr>
                  </w:pPr>
                  <w:r>
                    <w:rPr>
                      <w:rFonts w:eastAsia="Times New Roman"/>
                    </w:rPr>
                    <w:t>Brand Notoriety</w:t>
                  </w:r>
                </w:p>
              </w:tc>
              <w:tc>
                <w:tcPr>
                  <w:tcW w:w="4524" w:type="dxa"/>
                </w:tcPr>
                <w:p w:rsidR="00EA3990" w:rsidRPr="00375F11" w:rsidRDefault="00963B26" w:rsidP="00FC45AD">
                  <w:pPr>
                    <w:pStyle w:val="Puces4"/>
                    <w:framePr w:hSpace="180" w:wrap="around" w:vAnchor="text" w:hAnchor="margin" w:xAlign="center" w:y="192"/>
                    <w:numPr>
                      <w:ilvl w:val="0"/>
                      <w:numId w:val="20"/>
                    </w:numPr>
                    <w:rPr>
                      <w:rFonts w:eastAsia="Times New Roman"/>
                    </w:rPr>
                  </w:pPr>
                  <w:r>
                    <w:rPr>
                      <w:rFonts w:eastAsia="Times New Roman"/>
                    </w:rPr>
                    <w:t>Employee Engagement</w:t>
                  </w:r>
                </w:p>
              </w:tc>
            </w:tr>
            <w:tr w:rsidR="00EA3990" w:rsidTr="0007446E">
              <w:tc>
                <w:tcPr>
                  <w:tcW w:w="4473" w:type="dxa"/>
                </w:tcPr>
                <w:p w:rsidR="00EA3990" w:rsidRDefault="00EA3990" w:rsidP="00FC45AD">
                  <w:pPr>
                    <w:pStyle w:val="Puces4"/>
                    <w:framePr w:hSpace="180" w:wrap="around" w:vAnchor="text" w:hAnchor="margin" w:xAlign="center" w:y="192"/>
                    <w:numPr>
                      <w:ilvl w:val="0"/>
                      <w:numId w:val="20"/>
                    </w:numPr>
                    <w:rPr>
                      <w:rFonts w:eastAsia="Times New Roman"/>
                    </w:rPr>
                  </w:pPr>
                  <w:r>
                    <w:rPr>
                      <w:rFonts w:eastAsia="Times New Roman"/>
                    </w:rPr>
                    <w:t>Commercial Awareness</w:t>
                  </w:r>
                </w:p>
              </w:tc>
              <w:tc>
                <w:tcPr>
                  <w:tcW w:w="4524" w:type="dxa"/>
                </w:tcPr>
                <w:p w:rsidR="00EA3990" w:rsidRDefault="00963B26" w:rsidP="00FC45AD">
                  <w:pPr>
                    <w:pStyle w:val="Puces4"/>
                    <w:framePr w:hSpace="180" w:wrap="around" w:vAnchor="text" w:hAnchor="margin" w:xAlign="center" w:y="192"/>
                    <w:numPr>
                      <w:ilvl w:val="0"/>
                      <w:numId w:val="20"/>
                    </w:numPr>
                    <w:rPr>
                      <w:rFonts w:eastAsia="Times New Roman"/>
                    </w:rPr>
                  </w:pPr>
                  <w:r>
                    <w:rPr>
                      <w:rFonts w:eastAsia="Times New Roman"/>
                    </w:rPr>
                    <w:t>Learning &amp; Development</w:t>
                  </w: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C45A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FC45AD">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FC45A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FC45AD">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FC45A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FC45AD">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FC45A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FC45AD">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FC45A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FC45AD">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8pt" o:bullet="t">
        <v:imagedata r:id="rId1" o:title="carre-rouge"/>
      </v:shape>
    </w:pict>
  </w:numPicBullet>
  <w:abstractNum w:abstractNumId="0">
    <w:nsid w:val="0293638A"/>
    <w:multiLevelType w:val="hybridMultilevel"/>
    <w:tmpl w:val="255EC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26002C"/>
    <w:multiLevelType w:val="hybridMultilevel"/>
    <w:tmpl w:val="F71EFE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F51DA"/>
    <w:multiLevelType w:val="hybridMultilevel"/>
    <w:tmpl w:val="E056DA5C"/>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F220EF"/>
    <w:multiLevelType w:val="hybridMultilevel"/>
    <w:tmpl w:val="6360DE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0"/>
  </w:num>
  <w:num w:numId="5">
    <w:abstractNumId w:val="5"/>
  </w:num>
  <w:num w:numId="6">
    <w:abstractNumId w:val="3"/>
  </w:num>
  <w:num w:numId="7">
    <w:abstractNumId w:val="13"/>
  </w:num>
  <w:num w:numId="8">
    <w:abstractNumId w:val="6"/>
  </w:num>
  <w:num w:numId="9">
    <w:abstractNumId w:val="18"/>
  </w:num>
  <w:num w:numId="10">
    <w:abstractNumId w:val="19"/>
  </w:num>
  <w:num w:numId="11">
    <w:abstractNumId w:val="9"/>
  </w:num>
  <w:num w:numId="12">
    <w:abstractNumId w:val="1"/>
  </w:num>
  <w:num w:numId="13">
    <w:abstractNumId w:val="14"/>
  </w:num>
  <w:num w:numId="14">
    <w:abstractNumId w:val="4"/>
  </w:num>
  <w:num w:numId="15">
    <w:abstractNumId w:val="16"/>
  </w:num>
  <w:num w:numId="16">
    <w:abstractNumId w:val="17"/>
  </w:num>
  <w:num w:numId="17">
    <w:abstractNumId w:val="0"/>
  </w:num>
  <w:num w:numId="18">
    <w:abstractNumId w:val="8"/>
  </w:num>
  <w:num w:numId="19">
    <w:abstractNumId w:val="15"/>
  </w:num>
  <w:num w:numId="20">
    <w:abstractNumId w:val="1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4635"/>
    <w:rsid w:val="00086FFE"/>
    <w:rsid w:val="000E3EF7"/>
    <w:rsid w:val="000E78CD"/>
    <w:rsid w:val="000F1018"/>
    <w:rsid w:val="00104BDE"/>
    <w:rsid w:val="001321E0"/>
    <w:rsid w:val="00144E5D"/>
    <w:rsid w:val="00156B20"/>
    <w:rsid w:val="00182C04"/>
    <w:rsid w:val="00184393"/>
    <w:rsid w:val="001F1F6A"/>
    <w:rsid w:val="00293E5D"/>
    <w:rsid w:val="002B1DC6"/>
    <w:rsid w:val="002E339A"/>
    <w:rsid w:val="00345254"/>
    <w:rsid w:val="00347216"/>
    <w:rsid w:val="00366A73"/>
    <w:rsid w:val="00385256"/>
    <w:rsid w:val="003950A6"/>
    <w:rsid w:val="003C7800"/>
    <w:rsid w:val="003E57DA"/>
    <w:rsid w:val="004238D8"/>
    <w:rsid w:val="00424476"/>
    <w:rsid w:val="00465F3A"/>
    <w:rsid w:val="004D170A"/>
    <w:rsid w:val="005067BC"/>
    <w:rsid w:val="00520545"/>
    <w:rsid w:val="00525E71"/>
    <w:rsid w:val="00542578"/>
    <w:rsid w:val="005E5B63"/>
    <w:rsid w:val="00613392"/>
    <w:rsid w:val="00616B0B"/>
    <w:rsid w:val="00646B79"/>
    <w:rsid w:val="00656519"/>
    <w:rsid w:val="00674674"/>
    <w:rsid w:val="006802C0"/>
    <w:rsid w:val="00745A24"/>
    <w:rsid w:val="007E7E0C"/>
    <w:rsid w:val="007F602D"/>
    <w:rsid w:val="00846EE1"/>
    <w:rsid w:val="00890EDC"/>
    <w:rsid w:val="008B0B20"/>
    <w:rsid w:val="008B64DE"/>
    <w:rsid w:val="008D1A2B"/>
    <w:rsid w:val="008E32C0"/>
    <w:rsid w:val="009453C1"/>
    <w:rsid w:val="00963B26"/>
    <w:rsid w:val="0097404A"/>
    <w:rsid w:val="009B22F2"/>
    <w:rsid w:val="00A37146"/>
    <w:rsid w:val="00AB3B41"/>
    <w:rsid w:val="00AD1DEC"/>
    <w:rsid w:val="00B70457"/>
    <w:rsid w:val="00C109EA"/>
    <w:rsid w:val="00C4467B"/>
    <w:rsid w:val="00C4695A"/>
    <w:rsid w:val="00C61430"/>
    <w:rsid w:val="00CC0297"/>
    <w:rsid w:val="00CC2929"/>
    <w:rsid w:val="00D31A0E"/>
    <w:rsid w:val="00D56F12"/>
    <w:rsid w:val="00D82038"/>
    <w:rsid w:val="00D949FB"/>
    <w:rsid w:val="00DE5E49"/>
    <w:rsid w:val="00E31AA0"/>
    <w:rsid w:val="00E33C91"/>
    <w:rsid w:val="00E521A5"/>
    <w:rsid w:val="00E57078"/>
    <w:rsid w:val="00E70392"/>
    <w:rsid w:val="00E86121"/>
    <w:rsid w:val="00EA3990"/>
    <w:rsid w:val="00EA4C16"/>
    <w:rsid w:val="00EA5822"/>
    <w:rsid w:val="00EF6ED7"/>
    <w:rsid w:val="00F479E6"/>
    <w:rsid w:val="00F6405B"/>
    <w:rsid w:val="00FC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517041395">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564</Words>
  <Characters>3217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BENNETT Stewart</cp:lastModifiedBy>
  <cp:revision>4</cp:revision>
  <cp:lastPrinted>2016-03-09T15:26:00Z</cp:lastPrinted>
  <dcterms:created xsi:type="dcterms:W3CDTF">2017-03-03T08:12:00Z</dcterms:created>
  <dcterms:modified xsi:type="dcterms:W3CDTF">2017-03-09T10:44:00Z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