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04279">
                              <w:rPr>
                                <w:color w:val="FFFFFF"/>
                                <w:sz w:val="44"/>
                                <w:szCs w:val="44"/>
                                <w:lang w:val="en-AU"/>
                              </w:rPr>
                              <w:t>Programme Co-ordinator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04279">
                        <w:rPr>
                          <w:color w:val="FFFFFF"/>
                          <w:sz w:val="44"/>
                          <w:szCs w:val="44"/>
                          <w:lang w:val="en-AU"/>
                        </w:rPr>
                        <w:t>Programme Co-ordinator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146E3" w:rsidP="00161F93">
            <w:pPr>
              <w:spacing w:before="20" w:after="20"/>
              <w:jc w:val="left"/>
              <w:rPr>
                <w:rFonts w:cs="Arial"/>
                <w:color w:val="000000"/>
                <w:szCs w:val="20"/>
              </w:rPr>
            </w:pPr>
            <w:r>
              <w:rPr>
                <w:rFonts w:cs="Arial"/>
                <w:color w:val="000000"/>
                <w:szCs w:val="20"/>
              </w:rPr>
              <w:t>Service Operations, Mobilisation &amp; Change Team</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D146E3" w:rsidP="00161F93">
            <w:pPr>
              <w:pStyle w:val="Heading2"/>
              <w:rPr>
                <w:b w:val="0"/>
                <w:lang w:val="en-CA"/>
              </w:rPr>
            </w:pPr>
            <w:r>
              <w:rPr>
                <w:b w:val="0"/>
                <w:sz w:val="18"/>
                <w:lang w:val="en-CA"/>
              </w:rPr>
              <w:t>Programme Co-ordinator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D146E3" w:rsidP="004B2221">
            <w:pPr>
              <w:spacing w:before="20" w:after="20"/>
              <w:jc w:val="left"/>
              <w:rPr>
                <w:rFonts w:cs="Arial"/>
                <w:color w:val="000000"/>
                <w:szCs w:val="20"/>
              </w:rPr>
            </w:pPr>
            <w:r>
              <w:rPr>
                <w:b/>
                <w:sz w:val="18"/>
                <w:lang w:val="en-CA"/>
              </w:rPr>
              <w:t>Programme Co-ordinator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177DF6" w:rsidP="004848CF">
            <w:pPr>
              <w:spacing w:before="20" w:after="20"/>
              <w:jc w:val="left"/>
              <w:rPr>
                <w:rFonts w:cs="Arial"/>
                <w:color w:val="000000"/>
                <w:szCs w:val="20"/>
              </w:rPr>
            </w:pPr>
            <w:r>
              <w:rPr>
                <w:rFonts w:cs="Arial"/>
                <w:color w:val="000000"/>
                <w:szCs w:val="20"/>
              </w:rPr>
              <w:t xml:space="preserve">Head of </w:t>
            </w:r>
            <w:proofErr w:type="spellStart"/>
            <w:r>
              <w:rPr>
                <w:rFonts w:cs="Arial"/>
                <w:color w:val="000000"/>
                <w:szCs w:val="20"/>
              </w:rPr>
              <w:t>Programme</w:t>
            </w:r>
            <w:proofErr w:type="spellEnd"/>
            <w:r>
              <w:rPr>
                <w:rFonts w:cs="Arial"/>
                <w:color w:val="000000"/>
                <w:szCs w:val="20"/>
              </w:rPr>
              <w:t xml:space="preserve"> Delivery, Mobilisation &amp; Change Team</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177DF6" w:rsidP="00366A73">
            <w:pPr>
              <w:spacing w:before="20" w:after="20"/>
              <w:jc w:val="left"/>
              <w:rPr>
                <w:rFonts w:cs="Arial"/>
                <w:color w:val="000000"/>
                <w:szCs w:val="20"/>
              </w:rPr>
            </w:pPr>
            <w:r>
              <w:rPr>
                <w:rFonts w:cs="Arial"/>
                <w:color w:val="000000"/>
                <w:szCs w:val="20"/>
              </w:rPr>
              <w:t>None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177DF6" w:rsidP="00161F93">
            <w:pPr>
              <w:spacing w:before="20" w:after="20"/>
              <w:jc w:val="left"/>
              <w:rPr>
                <w:rFonts w:cs="Arial"/>
                <w:color w:val="000000"/>
                <w:szCs w:val="20"/>
              </w:rPr>
            </w:pPr>
            <w:r>
              <w:rPr>
                <w:rFonts w:cs="Arial"/>
                <w:color w:val="000000"/>
                <w:szCs w:val="20"/>
              </w:rPr>
              <w:t>Home based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177DF6" w:rsidRPr="00177DF6" w:rsidRDefault="00177DF6" w:rsidP="00177DF6">
            <w:pPr>
              <w:pStyle w:val="Puces4"/>
              <w:numPr>
                <w:ilvl w:val="0"/>
                <w:numId w:val="2"/>
              </w:numPr>
              <w:rPr>
                <w:color w:val="000000" w:themeColor="text1"/>
              </w:rPr>
            </w:pPr>
            <w:r w:rsidRPr="00177DF6">
              <w:rPr>
                <w:color w:val="000000" w:themeColor="text1"/>
              </w:rPr>
              <w:t>To play a key role in supporting every new contract opening in the UK &amp; Ireland</w:t>
            </w:r>
          </w:p>
          <w:p w:rsidR="00177DF6" w:rsidRPr="00177DF6" w:rsidRDefault="00177DF6" w:rsidP="00177DF6">
            <w:pPr>
              <w:pStyle w:val="Puces4"/>
              <w:numPr>
                <w:ilvl w:val="0"/>
                <w:numId w:val="2"/>
              </w:numPr>
              <w:rPr>
                <w:color w:val="000000" w:themeColor="text1"/>
              </w:rPr>
            </w:pPr>
            <w:r w:rsidRPr="00177DF6">
              <w:rPr>
                <w:color w:val="000000" w:themeColor="text1"/>
              </w:rPr>
              <w:t>To provide remote support and advice to on site mobilisation teams.</w:t>
            </w:r>
          </w:p>
          <w:p w:rsidR="00177DF6" w:rsidRPr="00177DF6" w:rsidRDefault="00177DF6" w:rsidP="00177DF6">
            <w:pPr>
              <w:pStyle w:val="Puces4"/>
              <w:numPr>
                <w:ilvl w:val="0"/>
                <w:numId w:val="2"/>
              </w:numPr>
              <w:rPr>
                <w:color w:val="000000" w:themeColor="text1"/>
              </w:rPr>
            </w:pPr>
            <w:r w:rsidRPr="00177DF6">
              <w:rPr>
                <w:color w:val="000000" w:themeColor="text1"/>
              </w:rPr>
              <w:t xml:space="preserve">To support the Programme Delivery Manager in the delivery of standardised mobilisation tools and processes across the business. </w:t>
            </w:r>
          </w:p>
          <w:p w:rsidR="00177DF6" w:rsidRPr="00177DF6" w:rsidRDefault="00177DF6" w:rsidP="00177DF6">
            <w:pPr>
              <w:pStyle w:val="Puces4"/>
              <w:numPr>
                <w:ilvl w:val="0"/>
                <w:numId w:val="2"/>
              </w:numPr>
              <w:rPr>
                <w:color w:val="000000" w:themeColor="text1"/>
              </w:rPr>
            </w:pPr>
            <w:r w:rsidRPr="00177DF6">
              <w:rPr>
                <w:color w:val="000000" w:themeColor="text1"/>
              </w:rPr>
              <w:t xml:space="preserve">To play a key role in administering and ensuring compliance of all programme governance and management methodology and tools. </w:t>
            </w:r>
          </w:p>
          <w:p w:rsidR="00177DF6" w:rsidRPr="00177DF6" w:rsidRDefault="00177DF6" w:rsidP="00177DF6">
            <w:pPr>
              <w:pStyle w:val="Puces4"/>
              <w:numPr>
                <w:ilvl w:val="0"/>
                <w:numId w:val="2"/>
              </w:numPr>
              <w:rPr>
                <w:color w:val="000000" w:themeColor="text1"/>
              </w:rPr>
            </w:pPr>
            <w:r w:rsidRPr="00177DF6">
              <w:rPr>
                <w:color w:val="000000" w:themeColor="text1"/>
              </w:rPr>
              <w:t>To lead on documentation control including templates, filing and archiving.</w:t>
            </w:r>
          </w:p>
          <w:p w:rsidR="00177DF6" w:rsidRPr="00177DF6" w:rsidRDefault="00177DF6" w:rsidP="00177DF6">
            <w:pPr>
              <w:pStyle w:val="Puces4"/>
              <w:numPr>
                <w:ilvl w:val="0"/>
                <w:numId w:val="2"/>
              </w:numPr>
              <w:rPr>
                <w:color w:val="000000" w:themeColor="text1"/>
              </w:rPr>
            </w:pPr>
            <w:r w:rsidRPr="00177DF6">
              <w:rPr>
                <w:color w:val="000000" w:themeColor="text1"/>
              </w:rPr>
              <w:t>To provide and analyse management information across all mobilisations to ensure continuous improvement.</w:t>
            </w:r>
          </w:p>
          <w:p w:rsidR="00177DF6" w:rsidRPr="00177DF6" w:rsidRDefault="00177DF6" w:rsidP="00177DF6">
            <w:pPr>
              <w:pStyle w:val="Puces4"/>
              <w:numPr>
                <w:ilvl w:val="0"/>
                <w:numId w:val="2"/>
              </w:numPr>
              <w:rPr>
                <w:color w:val="000000" w:themeColor="text1"/>
              </w:rPr>
            </w:pPr>
            <w:r w:rsidRPr="00177DF6">
              <w:rPr>
                <w:color w:val="000000" w:themeColor="text1"/>
              </w:rPr>
              <w:t>Provide PMO support to Programme Managers on large complex mobilisations.</w:t>
            </w:r>
          </w:p>
          <w:p w:rsidR="00177DF6" w:rsidRPr="00177DF6" w:rsidRDefault="00177DF6" w:rsidP="00177DF6">
            <w:pPr>
              <w:pStyle w:val="Puces4"/>
              <w:numPr>
                <w:ilvl w:val="0"/>
                <w:numId w:val="2"/>
              </w:numPr>
              <w:rPr>
                <w:color w:val="000000" w:themeColor="text1"/>
              </w:rPr>
            </w:pPr>
            <w:r w:rsidRPr="00177DF6">
              <w:rPr>
                <w:color w:val="000000" w:themeColor="text1"/>
              </w:rPr>
              <w:t>Liaison point for segments and service operations to ensure all mobilisation activities are completed efficiently and effectively.</w:t>
            </w:r>
          </w:p>
          <w:p w:rsidR="00745A24" w:rsidRPr="00177DF6" w:rsidRDefault="00177DF6" w:rsidP="00177DF6">
            <w:pPr>
              <w:pStyle w:val="Puces4"/>
              <w:numPr>
                <w:ilvl w:val="0"/>
                <w:numId w:val="2"/>
              </w:numPr>
              <w:rPr>
                <w:color w:val="000000" w:themeColor="text1"/>
              </w:rPr>
            </w:pPr>
            <w:r w:rsidRPr="00177DF6">
              <w:rPr>
                <w:color w:val="000000" w:themeColor="text1"/>
              </w:rPr>
              <w:t>To support any other PMO activities, such as day to day team administrative duties and other PMO activities as requested by the Programme Delivery Manager and UK &amp;I Head of Mobilisation.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A04279"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177DF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177DF6" w:rsidP="00161F93">
            <w:pPr>
              <w:rPr>
                <w:sz w:val="18"/>
                <w:szCs w:val="18"/>
              </w:rPr>
            </w:pPr>
            <w:r>
              <w:rPr>
                <w:sz w:val="18"/>
                <w:szCs w:val="18"/>
              </w:rPr>
              <w:t>n/a</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177DF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177DF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177DF6" w:rsidP="00161F93">
            <w:pPr>
              <w:rPr>
                <w:sz w:val="18"/>
                <w:szCs w:val="18"/>
              </w:rPr>
            </w:pPr>
            <w:r>
              <w:rPr>
                <w:sz w:val="18"/>
                <w:szCs w:val="18"/>
              </w:rPr>
              <w:t>n/a</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177DF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A04279" w:rsidP="00144E5D">
            <w:pPr>
              <w:numPr>
                <w:ilvl w:val="0"/>
                <w:numId w:val="1"/>
              </w:numPr>
              <w:spacing w:before="40" w:after="40"/>
              <w:jc w:val="left"/>
              <w:rPr>
                <w:rFonts w:cs="Arial"/>
                <w:color w:val="000000" w:themeColor="text1"/>
                <w:szCs w:val="20"/>
              </w:rPr>
            </w:pPr>
            <w:r>
              <w:rPr>
                <w:rFonts w:cs="Arial"/>
                <w:color w:val="000000" w:themeColor="text1"/>
                <w:szCs w:val="20"/>
              </w:rPr>
              <w:t>n/a</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0E3EF7" w:rsidRDefault="00177DF6" w:rsidP="00366A73">
            <w:pPr>
              <w:spacing w:after="40"/>
              <w:jc w:val="center"/>
              <w:rPr>
                <w:rFonts w:cs="Arial"/>
                <w:noProof/>
                <w:sz w:val="10"/>
                <w:szCs w:val="20"/>
                <w:lang w:eastAsia="en-US"/>
              </w:rPr>
            </w:pPr>
            <w:r>
              <w:rPr>
                <w:noProof/>
                <w:lang w:val="en-GB" w:eastAsia="en-GB"/>
              </w:rPr>
              <w:lastRenderedPageBreak/>
              <w:drawing>
                <wp:inline distT="0" distB="0" distL="0" distR="0">
                  <wp:extent cx="4484370" cy="2223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903" t="6410" r="9616" b="33846"/>
                          <a:stretch>
                            <a:fillRect/>
                          </a:stretch>
                        </pic:blipFill>
                        <pic:spPr bwMode="auto">
                          <a:xfrm>
                            <a:off x="0" y="0"/>
                            <a:ext cx="4484370" cy="2223770"/>
                          </a:xfrm>
                          <a:prstGeom prst="rect">
                            <a:avLst/>
                          </a:prstGeom>
                          <a:noFill/>
                          <a:ln>
                            <a:noFill/>
                          </a:ln>
                        </pic:spPr>
                      </pic:pic>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76A4B">
        <w:trPr>
          <w:trHeight w:val="972"/>
        </w:trPr>
        <w:tc>
          <w:tcPr>
            <w:tcW w:w="10458" w:type="dxa"/>
            <w:tcBorders>
              <w:top w:val="dotted" w:sz="2" w:space="0" w:color="auto"/>
              <w:left w:val="single" w:sz="2" w:space="0" w:color="auto"/>
              <w:bottom w:val="single" w:sz="4" w:space="0" w:color="auto"/>
              <w:right w:val="single" w:sz="2" w:space="0" w:color="auto"/>
            </w:tcBorders>
          </w:tcPr>
          <w:p w:rsidR="00176A4B" w:rsidRPr="00177DF6" w:rsidRDefault="00176A4B" w:rsidP="00176A4B">
            <w:pPr>
              <w:numPr>
                <w:ilvl w:val="0"/>
                <w:numId w:val="3"/>
              </w:numPr>
              <w:spacing w:before="40"/>
              <w:jc w:val="left"/>
              <w:rPr>
                <w:rFonts w:cs="Arial"/>
                <w:color w:val="000000" w:themeColor="text1"/>
                <w:szCs w:val="20"/>
                <w:lang w:val="en-GB"/>
              </w:rPr>
            </w:pPr>
            <w:r w:rsidRPr="00177DF6">
              <w:rPr>
                <w:rFonts w:cs="Arial"/>
                <w:color w:val="000000" w:themeColor="text1"/>
                <w:szCs w:val="20"/>
                <w:lang w:val="en-GB"/>
              </w:rPr>
              <w:t>Build strong effective governance and reporting mechanisms.</w:t>
            </w:r>
          </w:p>
          <w:p w:rsidR="00176A4B" w:rsidRPr="00177DF6" w:rsidRDefault="00176A4B" w:rsidP="00176A4B">
            <w:pPr>
              <w:numPr>
                <w:ilvl w:val="0"/>
                <w:numId w:val="3"/>
              </w:numPr>
              <w:spacing w:before="40"/>
              <w:jc w:val="left"/>
              <w:rPr>
                <w:rFonts w:cs="Arial"/>
                <w:color w:val="000000" w:themeColor="text1"/>
                <w:szCs w:val="20"/>
                <w:lang w:val="en-GB"/>
              </w:rPr>
            </w:pPr>
            <w:r w:rsidRPr="00177DF6">
              <w:rPr>
                <w:rFonts w:cs="Arial"/>
                <w:color w:val="000000" w:themeColor="text1"/>
                <w:szCs w:val="20"/>
                <w:lang w:val="en-GB"/>
              </w:rPr>
              <w:t xml:space="preserve">Build strong internal networks across the business to maximise outreach and reinforce relationships. </w:t>
            </w:r>
          </w:p>
          <w:p w:rsidR="00745A24" w:rsidRPr="00A04279" w:rsidRDefault="00176A4B" w:rsidP="00176A4B">
            <w:pPr>
              <w:numPr>
                <w:ilvl w:val="0"/>
                <w:numId w:val="3"/>
              </w:numPr>
              <w:spacing w:before="40" w:after="40"/>
              <w:jc w:val="left"/>
              <w:rPr>
                <w:rFonts w:cs="Arial"/>
                <w:color w:val="FF0000"/>
                <w:szCs w:val="20"/>
              </w:rPr>
            </w:pPr>
            <w:r>
              <w:rPr>
                <w:rFonts w:cs="Arial"/>
                <w:color w:val="000000" w:themeColor="text1"/>
                <w:szCs w:val="20"/>
                <w:lang w:val="en-GB"/>
              </w:rPr>
              <w:t>M</w:t>
            </w:r>
            <w:r w:rsidRPr="00177DF6">
              <w:rPr>
                <w:rFonts w:cs="Arial"/>
                <w:color w:val="000000" w:themeColor="text1"/>
                <w:szCs w:val="20"/>
                <w:lang w:val="en-GB"/>
              </w:rPr>
              <w:t>aintain strict levels of confidentiality and comply with data protection requirements at all times</w:t>
            </w:r>
            <w:r>
              <w:rPr>
                <w:rFonts w:cs="Arial"/>
                <w:color w:val="000000" w:themeColor="text1"/>
                <w:szCs w:val="20"/>
                <w:lang w:val="en-GB"/>
              </w:rPr>
              <w:t>.</w:t>
            </w:r>
          </w:p>
          <w:p w:rsidR="00A04279" w:rsidRPr="00177DF6" w:rsidRDefault="00A04279" w:rsidP="00A04279">
            <w:pPr>
              <w:pStyle w:val="ListParagraph"/>
              <w:numPr>
                <w:ilvl w:val="0"/>
                <w:numId w:val="3"/>
              </w:numPr>
              <w:rPr>
                <w:rFonts w:cs="Arial"/>
                <w:color w:val="000000" w:themeColor="text1"/>
              </w:rPr>
            </w:pPr>
            <w:r w:rsidRPr="00177DF6">
              <w:rPr>
                <w:rFonts w:cs="Arial"/>
                <w:color w:val="000000" w:themeColor="text1"/>
              </w:rPr>
              <w:t xml:space="preserve">Demonstrate clear and positive team working </w:t>
            </w:r>
          </w:p>
          <w:p w:rsidR="00A04279" w:rsidRPr="00C4695A" w:rsidRDefault="00A04279" w:rsidP="00A04279">
            <w:pPr>
              <w:numPr>
                <w:ilvl w:val="0"/>
                <w:numId w:val="3"/>
              </w:numPr>
              <w:spacing w:before="40" w:after="40"/>
              <w:jc w:val="left"/>
              <w:rPr>
                <w:rFonts w:cs="Arial"/>
                <w:color w:val="FF0000"/>
                <w:szCs w:val="20"/>
              </w:rPr>
            </w:pPr>
            <w:r w:rsidRPr="00177DF6">
              <w:rPr>
                <w:rFonts w:cs="Arial"/>
                <w:color w:val="000000" w:themeColor="text1"/>
                <w:szCs w:val="20"/>
                <w:lang w:val="en-GB"/>
              </w:rPr>
              <w:t>Motivated self-starter with excellent problem solving skills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177DF6" w:rsidRPr="00177DF6" w:rsidRDefault="00177DF6" w:rsidP="00177DF6">
            <w:pPr>
              <w:numPr>
                <w:ilvl w:val="0"/>
                <w:numId w:val="14"/>
              </w:numPr>
              <w:spacing w:before="40"/>
              <w:jc w:val="left"/>
              <w:rPr>
                <w:rFonts w:cs="Arial"/>
                <w:color w:val="000000" w:themeColor="text1"/>
                <w:szCs w:val="20"/>
                <w:lang w:val="en-GB"/>
              </w:rPr>
            </w:pPr>
            <w:r w:rsidRPr="00177DF6">
              <w:rPr>
                <w:rFonts w:cs="Arial"/>
                <w:color w:val="000000" w:themeColor="text1"/>
                <w:szCs w:val="20"/>
                <w:lang w:val="en-GB"/>
              </w:rPr>
              <w:t xml:space="preserve">To support the Programme Delivery Manager in administering and checking compliance of all programme governance and management methodology and tools. </w:t>
            </w:r>
          </w:p>
          <w:p w:rsidR="00177DF6" w:rsidRPr="00177DF6" w:rsidRDefault="00177DF6" w:rsidP="00177DF6">
            <w:pPr>
              <w:numPr>
                <w:ilvl w:val="0"/>
                <w:numId w:val="14"/>
              </w:numPr>
              <w:spacing w:before="40"/>
              <w:jc w:val="left"/>
              <w:rPr>
                <w:rFonts w:cs="Arial"/>
                <w:color w:val="000000" w:themeColor="text1"/>
                <w:szCs w:val="20"/>
                <w:lang w:val="en-GB"/>
              </w:rPr>
            </w:pPr>
            <w:r w:rsidRPr="00177DF6">
              <w:rPr>
                <w:rFonts w:cs="Arial"/>
                <w:color w:val="000000" w:themeColor="text1"/>
                <w:szCs w:val="20"/>
                <w:lang w:val="en-GB"/>
              </w:rPr>
              <w:t xml:space="preserve">Support and coordinate mobilisation meetings as required.  </w:t>
            </w:r>
          </w:p>
          <w:p w:rsidR="00177DF6" w:rsidRPr="00177DF6" w:rsidRDefault="00177DF6" w:rsidP="00177DF6">
            <w:pPr>
              <w:numPr>
                <w:ilvl w:val="0"/>
                <w:numId w:val="14"/>
              </w:numPr>
              <w:spacing w:before="40"/>
              <w:jc w:val="left"/>
              <w:rPr>
                <w:rFonts w:cs="Arial"/>
                <w:color w:val="000000" w:themeColor="text1"/>
                <w:szCs w:val="20"/>
                <w:lang w:val="en-GB"/>
              </w:rPr>
            </w:pPr>
            <w:r w:rsidRPr="00177DF6">
              <w:rPr>
                <w:rFonts w:cs="Arial"/>
                <w:color w:val="000000" w:themeColor="text1"/>
                <w:szCs w:val="20"/>
                <w:lang w:val="en-GB"/>
              </w:rPr>
              <w:t xml:space="preserve">To coordinate logistical arrangements throughout mobilisations and project activities.  </w:t>
            </w:r>
          </w:p>
          <w:p w:rsidR="00177DF6" w:rsidRPr="00177DF6" w:rsidRDefault="00177DF6" w:rsidP="00177DF6">
            <w:pPr>
              <w:numPr>
                <w:ilvl w:val="0"/>
                <w:numId w:val="14"/>
              </w:numPr>
              <w:spacing w:before="40"/>
              <w:jc w:val="left"/>
              <w:rPr>
                <w:rFonts w:cs="Arial"/>
                <w:color w:val="000000" w:themeColor="text1"/>
                <w:szCs w:val="20"/>
                <w:lang w:val="en-GB"/>
              </w:rPr>
            </w:pPr>
            <w:r w:rsidRPr="00177DF6">
              <w:rPr>
                <w:rFonts w:cs="Arial"/>
                <w:color w:val="000000" w:themeColor="text1"/>
                <w:szCs w:val="20"/>
                <w:lang w:val="en-GB"/>
              </w:rPr>
              <w:t>To ensure PMO activities are undertaken regularly and efficiently, such as central documentation storage, meeting administration and arrangement, and other PMO activities as requested by the Programme Delivery Manager.</w:t>
            </w:r>
          </w:p>
          <w:p w:rsidR="00177DF6" w:rsidRPr="00177DF6" w:rsidRDefault="00177DF6" w:rsidP="00177DF6">
            <w:pPr>
              <w:numPr>
                <w:ilvl w:val="0"/>
                <w:numId w:val="14"/>
              </w:numPr>
              <w:spacing w:before="40"/>
              <w:jc w:val="left"/>
              <w:rPr>
                <w:rFonts w:cs="Arial"/>
                <w:color w:val="000000" w:themeColor="text1"/>
                <w:szCs w:val="20"/>
                <w:lang w:val="en-GB"/>
              </w:rPr>
            </w:pPr>
            <w:r w:rsidRPr="00177DF6">
              <w:rPr>
                <w:rFonts w:cs="Arial"/>
                <w:color w:val="000000" w:themeColor="text1"/>
                <w:szCs w:val="20"/>
                <w:lang w:val="en-GB"/>
              </w:rPr>
              <w:t>To manage documentation and plans to ensure compliance to methodology and tools.</w:t>
            </w:r>
          </w:p>
          <w:p w:rsidR="00177DF6" w:rsidRPr="00177DF6" w:rsidRDefault="00177DF6" w:rsidP="00177DF6">
            <w:pPr>
              <w:numPr>
                <w:ilvl w:val="0"/>
                <w:numId w:val="14"/>
              </w:numPr>
              <w:spacing w:before="40"/>
              <w:jc w:val="left"/>
              <w:rPr>
                <w:rFonts w:cs="Arial"/>
                <w:color w:val="000000" w:themeColor="text1"/>
                <w:szCs w:val="20"/>
                <w:lang w:val="en-GB"/>
              </w:rPr>
            </w:pPr>
            <w:r w:rsidRPr="00177DF6">
              <w:rPr>
                <w:rFonts w:cs="Arial"/>
                <w:color w:val="000000" w:themeColor="text1"/>
                <w:szCs w:val="20"/>
                <w:lang w:val="en-GB"/>
              </w:rPr>
              <w:t>Define and follow the programme’s governance framework (in line with function standards) to support successful deployment of the project or programme.</w:t>
            </w:r>
          </w:p>
          <w:p w:rsidR="00424476" w:rsidRPr="00176A4B" w:rsidRDefault="00177DF6" w:rsidP="00176A4B">
            <w:pPr>
              <w:numPr>
                <w:ilvl w:val="0"/>
                <w:numId w:val="14"/>
              </w:numPr>
              <w:spacing w:before="40"/>
              <w:jc w:val="left"/>
              <w:rPr>
                <w:rFonts w:cs="Arial"/>
                <w:color w:val="000000" w:themeColor="text1"/>
                <w:szCs w:val="20"/>
                <w:lang w:val="en-GB"/>
              </w:rPr>
            </w:pPr>
            <w:r w:rsidRPr="00177DF6">
              <w:rPr>
                <w:rFonts w:cs="Arial"/>
                <w:color w:val="000000" w:themeColor="text1"/>
                <w:szCs w:val="20"/>
                <w:lang w:val="en-GB"/>
              </w:rPr>
              <w:t>Highlight any issues or risks which may impact the successful delivery of the programme, ensuring business continuity during transition.</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04279" w:rsidRPr="00177DF6" w:rsidRDefault="00A04279" w:rsidP="00A04279">
            <w:pPr>
              <w:numPr>
                <w:ilvl w:val="0"/>
                <w:numId w:val="3"/>
              </w:numPr>
              <w:spacing w:before="40"/>
              <w:jc w:val="left"/>
              <w:rPr>
                <w:rFonts w:cs="Arial"/>
                <w:color w:val="000000" w:themeColor="text1"/>
                <w:szCs w:val="20"/>
                <w:lang w:val="en-GB"/>
              </w:rPr>
            </w:pPr>
            <w:r w:rsidRPr="00177DF6">
              <w:rPr>
                <w:rFonts w:cs="Arial"/>
                <w:color w:val="000000" w:themeColor="text1"/>
                <w:szCs w:val="20"/>
                <w:lang w:val="en-GB"/>
              </w:rPr>
              <w:t xml:space="preserve">Be the first point of contact for all new contract openings, providing assistance and guidance as required </w:t>
            </w:r>
          </w:p>
          <w:p w:rsidR="00177DF6" w:rsidRPr="00177DF6" w:rsidRDefault="00177DF6" w:rsidP="00A04279">
            <w:pPr>
              <w:pStyle w:val="ListParagraph"/>
              <w:numPr>
                <w:ilvl w:val="0"/>
                <w:numId w:val="3"/>
              </w:numPr>
              <w:rPr>
                <w:rFonts w:cs="Arial"/>
                <w:color w:val="000000" w:themeColor="text1"/>
              </w:rPr>
            </w:pPr>
            <w:r w:rsidRPr="00177DF6">
              <w:rPr>
                <w:rFonts w:cs="Arial"/>
                <w:color w:val="000000" w:themeColor="text1"/>
              </w:rPr>
              <w:t>Successfully complete your allocated deliverables within agreed timescale and quality parameters</w:t>
            </w:r>
          </w:p>
          <w:p w:rsidR="00745A24" w:rsidRPr="00A04279" w:rsidRDefault="00177DF6" w:rsidP="00A04279">
            <w:pPr>
              <w:pStyle w:val="ListParagraph"/>
              <w:numPr>
                <w:ilvl w:val="0"/>
                <w:numId w:val="3"/>
              </w:numPr>
              <w:rPr>
                <w:rFonts w:cs="Arial"/>
                <w:color w:val="000000" w:themeColor="text1"/>
                <w:szCs w:val="20"/>
                <w:lang w:val="en-GB"/>
              </w:rPr>
            </w:pPr>
            <w:r w:rsidRPr="00177DF6">
              <w:rPr>
                <w:rFonts w:cs="Arial"/>
                <w:color w:val="000000" w:themeColor="text1"/>
                <w:szCs w:val="20"/>
                <w:lang w:val="en-GB"/>
              </w:rPr>
              <w:t xml:space="preserve">Successfully support the Programme Delivery Manager in the smooth running of the programme office and to facilitate team members in achieving programme milestones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176A4B" w:rsidRPr="00176A4B" w:rsidRDefault="00176A4B" w:rsidP="00176A4B">
            <w:pPr>
              <w:pStyle w:val="Puces4"/>
              <w:numPr>
                <w:ilvl w:val="0"/>
                <w:numId w:val="0"/>
              </w:numPr>
              <w:ind w:left="720"/>
              <w:rPr>
                <w:u w:val="single"/>
              </w:rPr>
            </w:pPr>
            <w:r w:rsidRPr="00176A4B">
              <w:rPr>
                <w:u w:val="single"/>
              </w:rPr>
              <w:lastRenderedPageBreak/>
              <w:t xml:space="preserve">Essential </w:t>
            </w:r>
          </w:p>
          <w:p w:rsidR="00176A4B" w:rsidRPr="00176A4B" w:rsidRDefault="00176A4B" w:rsidP="00176A4B">
            <w:pPr>
              <w:pStyle w:val="Puces4"/>
              <w:numPr>
                <w:ilvl w:val="0"/>
                <w:numId w:val="3"/>
              </w:numPr>
            </w:pPr>
            <w:r w:rsidRPr="00176A4B">
              <w:t xml:space="preserve">Solid administrative experience   </w:t>
            </w:r>
          </w:p>
          <w:p w:rsidR="00BF0AF1" w:rsidRPr="00176A4B" w:rsidRDefault="00BF0AF1" w:rsidP="00BF0AF1">
            <w:pPr>
              <w:pStyle w:val="Puces4"/>
              <w:numPr>
                <w:ilvl w:val="0"/>
                <w:numId w:val="3"/>
              </w:numPr>
            </w:pPr>
            <w:r w:rsidRPr="00176A4B">
              <w:t xml:space="preserve">High levels of computer literacy – Microsoft Office, especially Excel, </w:t>
            </w:r>
            <w:proofErr w:type="spellStart"/>
            <w:r w:rsidRPr="00176A4B">
              <w:t>Powerpoint</w:t>
            </w:r>
            <w:proofErr w:type="spellEnd"/>
            <w:r w:rsidRPr="00176A4B">
              <w:t xml:space="preserve">, MS Visio and Outlook </w:t>
            </w:r>
          </w:p>
          <w:p w:rsidR="00176A4B" w:rsidRPr="00176A4B" w:rsidRDefault="00176A4B" w:rsidP="00176A4B">
            <w:pPr>
              <w:pStyle w:val="Puces4"/>
              <w:numPr>
                <w:ilvl w:val="0"/>
                <w:numId w:val="3"/>
              </w:numPr>
            </w:pPr>
            <w:r w:rsidRPr="00176A4B">
              <w:t>Excellent team organisation and coordination skills</w:t>
            </w:r>
          </w:p>
          <w:p w:rsidR="00176A4B" w:rsidRDefault="00176A4B" w:rsidP="00176A4B">
            <w:pPr>
              <w:pStyle w:val="Puces4"/>
              <w:numPr>
                <w:ilvl w:val="0"/>
                <w:numId w:val="3"/>
              </w:numPr>
            </w:pPr>
            <w:r w:rsidRPr="00176A4B">
              <w:t>Highly organised and responsive, with ability to deliver under pressure</w:t>
            </w:r>
          </w:p>
          <w:p w:rsidR="00BF0AF1" w:rsidRDefault="00BF0AF1" w:rsidP="00BF0AF1">
            <w:pPr>
              <w:pStyle w:val="Puces4"/>
              <w:numPr>
                <w:ilvl w:val="0"/>
                <w:numId w:val="3"/>
              </w:numPr>
            </w:pPr>
            <w:r>
              <w:t>Flexib</w:t>
            </w:r>
            <w:r>
              <w:t xml:space="preserve">le adaptable </w:t>
            </w:r>
          </w:p>
          <w:p w:rsidR="00176A4B" w:rsidRPr="00176A4B" w:rsidRDefault="00176A4B" w:rsidP="00176A4B">
            <w:pPr>
              <w:pStyle w:val="Puces4"/>
              <w:numPr>
                <w:ilvl w:val="0"/>
                <w:numId w:val="3"/>
              </w:numPr>
            </w:pPr>
            <w:r w:rsidRPr="00176A4B">
              <w:t>Excellent documentation skills</w:t>
            </w:r>
          </w:p>
          <w:p w:rsidR="00176A4B" w:rsidRPr="00176A4B" w:rsidRDefault="00176A4B" w:rsidP="00176A4B">
            <w:pPr>
              <w:pStyle w:val="Puces4"/>
              <w:numPr>
                <w:ilvl w:val="0"/>
                <w:numId w:val="3"/>
              </w:numPr>
            </w:pPr>
            <w:r w:rsidRPr="00176A4B">
              <w:t>E</w:t>
            </w:r>
            <w:r w:rsidR="00BF0AF1">
              <w:t xml:space="preserve">ffective </w:t>
            </w:r>
            <w:r w:rsidRPr="00176A4B">
              <w:t xml:space="preserve">communications skills </w:t>
            </w:r>
          </w:p>
          <w:p w:rsidR="00176A4B" w:rsidRPr="00176A4B" w:rsidRDefault="00176A4B" w:rsidP="00176A4B">
            <w:pPr>
              <w:pStyle w:val="Puces4"/>
              <w:numPr>
                <w:ilvl w:val="0"/>
                <w:numId w:val="3"/>
              </w:numPr>
            </w:pPr>
            <w:r w:rsidRPr="00176A4B">
              <w:t>Ab</w:t>
            </w:r>
            <w:r w:rsidR="00BF0AF1">
              <w:t xml:space="preserve">le </w:t>
            </w:r>
            <w:r w:rsidRPr="00176A4B">
              <w:t>to work openly and collaboratively</w:t>
            </w:r>
          </w:p>
          <w:p w:rsidR="00176A4B" w:rsidRPr="00176A4B" w:rsidRDefault="00176A4B" w:rsidP="00176A4B">
            <w:pPr>
              <w:pStyle w:val="Puces4"/>
              <w:numPr>
                <w:ilvl w:val="0"/>
                <w:numId w:val="3"/>
              </w:numPr>
            </w:pPr>
            <w:r w:rsidRPr="00176A4B">
              <w:t>Strong attention to detail</w:t>
            </w:r>
          </w:p>
          <w:p w:rsidR="00176A4B" w:rsidRDefault="00176A4B" w:rsidP="00176A4B">
            <w:pPr>
              <w:pStyle w:val="Puces4"/>
              <w:numPr>
                <w:ilvl w:val="0"/>
                <w:numId w:val="3"/>
              </w:numPr>
            </w:pPr>
            <w:r w:rsidRPr="00176A4B">
              <w:t xml:space="preserve">Willingness to learn </w:t>
            </w:r>
          </w:p>
          <w:p w:rsidR="004848CF" w:rsidRPr="00176A4B" w:rsidRDefault="004848CF" w:rsidP="00176A4B">
            <w:pPr>
              <w:pStyle w:val="Puces4"/>
              <w:numPr>
                <w:ilvl w:val="0"/>
                <w:numId w:val="3"/>
              </w:numPr>
            </w:pPr>
            <w:r>
              <w:t xml:space="preserve">Able to work unsupervised day to day </w:t>
            </w:r>
          </w:p>
          <w:p w:rsidR="00176A4B" w:rsidRPr="00176A4B" w:rsidRDefault="00176A4B" w:rsidP="00176A4B">
            <w:pPr>
              <w:pStyle w:val="Puces4"/>
              <w:numPr>
                <w:ilvl w:val="0"/>
                <w:numId w:val="0"/>
              </w:numPr>
            </w:pPr>
          </w:p>
          <w:p w:rsidR="00176A4B" w:rsidRPr="00176A4B" w:rsidRDefault="00176A4B" w:rsidP="00176A4B">
            <w:pPr>
              <w:pStyle w:val="Puces4"/>
              <w:numPr>
                <w:ilvl w:val="0"/>
                <w:numId w:val="0"/>
              </w:numPr>
              <w:ind w:left="720"/>
              <w:rPr>
                <w:u w:val="single"/>
              </w:rPr>
            </w:pPr>
            <w:r w:rsidRPr="00176A4B">
              <w:rPr>
                <w:u w:val="single"/>
              </w:rPr>
              <w:t xml:space="preserve">Desirable </w:t>
            </w:r>
          </w:p>
          <w:p w:rsidR="00176A4B" w:rsidRPr="00176A4B" w:rsidRDefault="00176A4B" w:rsidP="00176A4B">
            <w:pPr>
              <w:pStyle w:val="Puces4"/>
              <w:numPr>
                <w:ilvl w:val="0"/>
                <w:numId w:val="3"/>
              </w:numPr>
            </w:pPr>
            <w:r w:rsidRPr="00176A4B">
              <w:t>Good knowledge of project planning and coordination</w:t>
            </w:r>
          </w:p>
          <w:p w:rsidR="00176A4B" w:rsidRPr="00176A4B" w:rsidRDefault="00176A4B" w:rsidP="00176A4B">
            <w:pPr>
              <w:pStyle w:val="Puces4"/>
              <w:numPr>
                <w:ilvl w:val="0"/>
                <w:numId w:val="3"/>
              </w:numPr>
            </w:pPr>
            <w:r w:rsidRPr="00176A4B">
              <w:t>Experience of SAP</w:t>
            </w:r>
          </w:p>
          <w:p w:rsidR="00EA3990" w:rsidRPr="004238D8" w:rsidRDefault="00176A4B" w:rsidP="00176A4B">
            <w:pPr>
              <w:pStyle w:val="Puces4"/>
              <w:numPr>
                <w:ilvl w:val="0"/>
                <w:numId w:val="3"/>
              </w:numPr>
            </w:pPr>
            <w:r w:rsidRPr="00176A4B">
              <w:t>Process mapping techniques</w:t>
            </w:r>
          </w:p>
        </w:tc>
      </w:tr>
    </w:tbl>
    <w:p w:rsidR="007F02BF" w:rsidRDefault="0018383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7B155B">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7B155B">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A04279" w:rsidP="007B155B">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7B155B">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A04279" w:rsidP="007B155B">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A04279" w:rsidP="007B155B">
                  <w:pPr>
                    <w:pStyle w:val="Puces4"/>
                    <w:framePr w:hSpace="180" w:wrap="around" w:vAnchor="text" w:hAnchor="margin" w:xAlign="center" w:y="192"/>
                    <w:ind w:left="851" w:hanging="284"/>
                    <w:rPr>
                      <w:rFonts w:eastAsia="Times New Roman"/>
                    </w:rPr>
                  </w:pPr>
                  <w:r>
                    <w:rPr>
                      <w:rFonts w:eastAsia="Times New Roman"/>
                    </w:rPr>
                    <w:t>Learning &amp; Development</w:t>
                  </w: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B155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176A4B" w:rsidP="007B155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7B155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176A4B" w:rsidP="007B155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12</w:t>
                  </w:r>
                  <w:r w:rsidRPr="00176A4B">
                    <w:rPr>
                      <w:rFonts w:cs="Arial"/>
                      <w:color w:val="000000" w:themeColor="text1"/>
                      <w:szCs w:val="20"/>
                      <w:vertAlign w:val="superscript"/>
                      <w:lang w:val="en-GB"/>
                    </w:rPr>
                    <w:t>th</w:t>
                  </w:r>
                  <w:r>
                    <w:rPr>
                      <w:rFonts w:cs="Arial"/>
                      <w:color w:val="000000" w:themeColor="text1"/>
                      <w:szCs w:val="20"/>
                      <w:lang w:val="en-GB"/>
                    </w:rPr>
                    <w:t xml:space="preserve"> October 2016</w:t>
                  </w:r>
                </w:p>
              </w:tc>
            </w:tr>
            <w:tr w:rsidR="00E57078" w:rsidTr="00E57078">
              <w:tc>
                <w:tcPr>
                  <w:tcW w:w="2122" w:type="dxa"/>
                </w:tcPr>
                <w:p w:rsidR="00E57078" w:rsidRDefault="00E57078" w:rsidP="007B155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176A4B" w:rsidP="0018383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w:t>
                  </w:r>
                  <w:r w:rsidR="00183832">
                    <w:rPr>
                      <w:rFonts w:cs="Arial"/>
                      <w:color w:val="000000" w:themeColor="text1"/>
                      <w:szCs w:val="20"/>
                      <w:lang w:val="en-GB"/>
                    </w:rPr>
                    <w:t>P</w:t>
                  </w:r>
                  <w:bookmarkStart w:id="0" w:name="_GoBack"/>
                  <w:bookmarkEnd w:id="0"/>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AB585C"/>
    <w:multiLevelType w:val="hybridMultilevel"/>
    <w:tmpl w:val="425C36FC"/>
    <w:lvl w:ilvl="0" w:tplc="E224352C">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CC00B02"/>
    <w:multiLevelType w:val="hybridMultilevel"/>
    <w:tmpl w:val="B50072E6"/>
    <w:lvl w:ilvl="0" w:tplc="E224352C">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AEE7F0B"/>
    <w:multiLevelType w:val="hybridMultilevel"/>
    <w:tmpl w:val="29C25B16"/>
    <w:lvl w:ilvl="0" w:tplc="E224352C">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D3066"/>
    <w:multiLevelType w:val="hybridMultilevel"/>
    <w:tmpl w:val="11649844"/>
    <w:lvl w:ilvl="0" w:tplc="E224352C">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B269D"/>
    <w:multiLevelType w:val="hybridMultilevel"/>
    <w:tmpl w:val="12F8FDDC"/>
    <w:lvl w:ilvl="0" w:tplc="E224352C">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307B8"/>
    <w:multiLevelType w:val="hybridMultilevel"/>
    <w:tmpl w:val="FDAC35DE"/>
    <w:lvl w:ilvl="0" w:tplc="E224352C">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040C0003">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987E24"/>
    <w:multiLevelType w:val="hybridMultilevel"/>
    <w:tmpl w:val="1FEE4040"/>
    <w:lvl w:ilvl="0" w:tplc="C17E8FB2">
      <w:start w:val="1"/>
      <w:numFmt w:val="bullet"/>
      <w:pStyle w:val="Puces2"/>
      <w:lvlText w:val=""/>
      <w:lvlJc w:val="left"/>
      <w:pPr>
        <w:tabs>
          <w:tab w:val="num" w:pos="851"/>
        </w:tabs>
        <w:ind w:left="851" w:hanging="284"/>
      </w:pPr>
      <w:rPr>
        <w:rFonts w:ascii="Symbol" w:hAnsi="Symbol" w:hint="default"/>
        <w:b w:val="0"/>
        <w:i w:val="0"/>
        <w:caps w:val="0"/>
        <w:strike w:val="0"/>
        <w:dstrike w:val="0"/>
        <w:outline w:val="0"/>
        <w:shadow w:val="0"/>
        <w:emboss w:val="0"/>
        <w:imprint w:val="0"/>
        <w:vanish w:val="0"/>
        <w:color w:val="FF412E"/>
        <w:sz w:val="32"/>
        <w:szCs w:val="32"/>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
  </w:num>
  <w:num w:numId="4">
    <w:abstractNumId w:val="14"/>
  </w:num>
  <w:num w:numId="5">
    <w:abstractNumId w:val="5"/>
  </w:num>
  <w:num w:numId="6">
    <w:abstractNumId w:val="2"/>
  </w:num>
  <w:num w:numId="7">
    <w:abstractNumId w:val="18"/>
  </w:num>
  <w:num w:numId="8">
    <w:abstractNumId w:val="7"/>
  </w:num>
  <w:num w:numId="9">
    <w:abstractNumId w:val="22"/>
  </w:num>
  <w:num w:numId="10">
    <w:abstractNumId w:val="23"/>
  </w:num>
  <w:num w:numId="11">
    <w:abstractNumId w:val="11"/>
  </w:num>
  <w:num w:numId="12">
    <w:abstractNumId w:val="0"/>
  </w:num>
  <w:num w:numId="13">
    <w:abstractNumId w:val="19"/>
  </w:num>
  <w:num w:numId="14">
    <w:abstractNumId w:val="4"/>
  </w:num>
  <w:num w:numId="15">
    <w:abstractNumId w:val="20"/>
  </w:num>
  <w:num w:numId="16">
    <w:abstractNumId w:val="21"/>
  </w:num>
  <w:num w:numId="17">
    <w:abstractNumId w:val="15"/>
  </w:num>
  <w:num w:numId="18">
    <w:abstractNumId w:val="0"/>
  </w:num>
  <w:num w:numId="19">
    <w:abstractNumId w:val="6"/>
  </w:num>
  <w:num w:numId="20">
    <w:abstractNumId w:val="3"/>
  </w:num>
  <w:num w:numId="21">
    <w:abstractNumId w:val="9"/>
  </w:num>
  <w:num w:numId="22">
    <w:abstractNumId w:val="10"/>
  </w:num>
  <w:num w:numId="23">
    <w:abstractNumId w:val="17"/>
  </w:num>
  <w:num w:numId="24">
    <w:abstractNumId w:val="12"/>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76A4B"/>
    <w:rsid w:val="00177DF6"/>
    <w:rsid w:val="00183832"/>
    <w:rsid w:val="001F1F6A"/>
    <w:rsid w:val="00293E5D"/>
    <w:rsid w:val="002B1DC6"/>
    <w:rsid w:val="00366A73"/>
    <w:rsid w:val="004238D8"/>
    <w:rsid w:val="00424476"/>
    <w:rsid w:val="004848CF"/>
    <w:rsid w:val="004B2221"/>
    <w:rsid w:val="004D170A"/>
    <w:rsid w:val="00520545"/>
    <w:rsid w:val="005E5B63"/>
    <w:rsid w:val="00613392"/>
    <w:rsid w:val="00616B0B"/>
    <w:rsid w:val="00646B79"/>
    <w:rsid w:val="00656519"/>
    <w:rsid w:val="00674674"/>
    <w:rsid w:val="006802C0"/>
    <w:rsid w:val="00745A24"/>
    <w:rsid w:val="007B155B"/>
    <w:rsid w:val="007F602D"/>
    <w:rsid w:val="0088619C"/>
    <w:rsid w:val="008B64DE"/>
    <w:rsid w:val="008D1A2B"/>
    <w:rsid w:val="00A04279"/>
    <w:rsid w:val="00A37146"/>
    <w:rsid w:val="00AD1DEC"/>
    <w:rsid w:val="00B70457"/>
    <w:rsid w:val="00BF0AF1"/>
    <w:rsid w:val="00BF4D80"/>
    <w:rsid w:val="00C22530"/>
    <w:rsid w:val="00C4467B"/>
    <w:rsid w:val="00C4695A"/>
    <w:rsid w:val="00C61430"/>
    <w:rsid w:val="00CC0297"/>
    <w:rsid w:val="00CC2929"/>
    <w:rsid w:val="00D146E3"/>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177D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DF6"/>
    <w:rPr>
      <w:rFonts w:asciiTheme="majorHAnsi" w:eastAsiaTheme="majorEastAsia" w:hAnsiTheme="majorHAnsi" w:cstheme="majorBidi"/>
      <w:b/>
      <w:bCs/>
      <w:color w:val="365F91" w:themeColor="accent1" w:themeShade="BF"/>
      <w:sz w:val="28"/>
      <w:szCs w:val="28"/>
      <w:lang w:val="en-US" w:eastAsia="fr-FR"/>
    </w:rPr>
  </w:style>
  <w:style w:type="character" w:customStyle="1" w:styleId="Texte9retraitCar">
    <w:name w:val="Texte 9 retrait Car"/>
    <w:link w:val="Texte9retrait"/>
    <w:rsid w:val="00177DF6"/>
    <w:rPr>
      <w:rFonts w:ascii="Arial" w:hAnsi="Arial" w:cs="Arial"/>
      <w:color w:val="000000"/>
      <w:sz w:val="18"/>
      <w:szCs w:val="18"/>
      <w:lang w:eastAsia="fr-FR"/>
    </w:rPr>
  </w:style>
  <w:style w:type="paragraph" w:customStyle="1" w:styleId="Texte9retrait">
    <w:name w:val="Texte 9 retrait"/>
    <w:basedOn w:val="Normal"/>
    <w:link w:val="Texte9retraitCar"/>
    <w:rsid w:val="00177DF6"/>
    <w:pPr>
      <w:spacing w:after="120" w:line="220" w:lineRule="exact"/>
      <w:ind w:left="567"/>
      <w:jc w:val="left"/>
    </w:pPr>
    <w:rPr>
      <w:rFonts w:eastAsiaTheme="minorEastAsia" w:cs="Arial"/>
      <w:color w:val="000000"/>
      <w:sz w:val="18"/>
      <w:szCs w:val="18"/>
      <w:lang w:val="en-GB"/>
    </w:rPr>
  </w:style>
  <w:style w:type="character" w:customStyle="1" w:styleId="AnnexCommBodytextCharChar">
    <w:name w:val="Annex (Comm) Body text Char Char"/>
    <w:rsid w:val="00177DF6"/>
    <w:rPr>
      <w:rFonts w:ascii="Trebuchet MS" w:hAnsi="Trebuchet MS"/>
      <w:color w:val="333300"/>
      <w:sz w:val="22"/>
      <w:lang w:val="en-GB" w:eastAsia="en-GB" w:bidi="ar-SA"/>
    </w:rPr>
  </w:style>
  <w:style w:type="paragraph" w:customStyle="1" w:styleId="Puces2">
    <w:name w:val="Puces 2"/>
    <w:rsid w:val="00176A4B"/>
    <w:pPr>
      <w:numPr>
        <w:numId w:val="23"/>
      </w:numPr>
      <w:spacing w:after="60" w:line="260" w:lineRule="exact"/>
    </w:pPr>
    <w:rPr>
      <w:rFonts w:ascii="Arial" w:eastAsia="Times New Roman" w:hAnsi="Arial" w:cs="Arial"/>
      <w:b/>
      <w:color w:val="000000"/>
      <w:lang w:eastAsia="fr-FR"/>
    </w:rPr>
  </w:style>
  <w:style w:type="paragraph" w:customStyle="1" w:styleId="Puces3">
    <w:name w:val="Puces 3"/>
    <w:basedOn w:val="Texte9retrait"/>
    <w:rsid w:val="00176A4B"/>
    <w:pPr>
      <w:numPr>
        <w:numId w:val="22"/>
      </w:numPr>
      <w:spacing w:after="40" w:line="180" w:lineRule="exac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177D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DF6"/>
    <w:rPr>
      <w:rFonts w:asciiTheme="majorHAnsi" w:eastAsiaTheme="majorEastAsia" w:hAnsiTheme="majorHAnsi" w:cstheme="majorBidi"/>
      <w:b/>
      <w:bCs/>
      <w:color w:val="365F91" w:themeColor="accent1" w:themeShade="BF"/>
      <w:sz w:val="28"/>
      <w:szCs w:val="28"/>
      <w:lang w:val="en-US" w:eastAsia="fr-FR"/>
    </w:rPr>
  </w:style>
  <w:style w:type="character" w:customStyle="1" w:styleId="Texte9retraitCar">
    <w:name w:val="Texte 9 retrait Car"/>
    <w:link w:val="Texte9retrait"/>
    <w:rsid w:val="00177DF6"/>
    <w:rPr>
      <w:rFonts w:ascii="Arial" w:hAnsi="Arial" w:cs="Arial"/>
      <w:color w:val="000000"/>
      <w:sz w:val="18"/>
      <w:szCs w:val="18"/>
      <w:lang w:eastAsia="fr-FR"/>
    </w:rPr>
  </w:style>
  <w:style w:type="paragraph" w:customStyle="1" w:styleId="Texte9retrait">
    <w:name w:val="Texte 9 retrait"/>
    <w:basedOn w:val="Normal"/>
    <w:link w:val="Texte9retraitCar"/>
    <w:rsid w:val="00177DF6"/>
    <w:pPr>
      <w:spacing w:after="120" w:line="220" w:lineRule="exact"/>
      <w:ind w:left="567"/>
      <w:jc w:val="left"/>
    </w:pPr>
    <w:rPr>
      <w:rFonts w:eastAsiaTheme="minorEastAsia" w:cs="Arial"/>
      <w:color w:val="000000"/>
      <w:sz w:val="18"/>
      <w:szCs w:val="18"/>
      <w:lang w:val="en-GB"/>
    </w:rPr>
  </w:style>
  <w:style w:type="character" w:customStyle="1" w:styleId="AnnexCommBodytextCharChar">
    <w:name w:val="Annex (Comm) Body text Char Char"/>
    <w:rsid w:val="00177DF6"/>
    <w:rPr>
      <w:rFonts w:ascii="Trebuchet MS" w:hAnsi="Trebuchet MS"/>
      <w:color w:val="333300"/>
      <w:sz w:val="22"/>
      <w:lang w:val="en-GB" w:eastAsia="en-GB" w:bidi="ar-SA"/>
    </w:rPr>
  </w:style>
  <w:style w:type="paragraph" w:customStyle="1" w:styleId="Puces2">
    <w:name w:val="Puces 2"/>
    <w:rsid w:val="00176A4B"/>
    <w:pPr>
      <w:numPr>
        <w:numId w:val="23"/>
      </w:numPr>
      <w:spacing w:after="60" w:line="260" w:lineRule="exact"/>
    </w:pPr>
    <w:rPr>
      <w:rFonts w:ascii="Arial" w:eastAsia="Times New Roman" w:hAnsi="Arial" w:cs="Arial"/>
      <w:b/>
      <w:color w:val="000000"/>
      <w:lang w:eastAsia="fr-FR"/>
    </w:rPr>
  </w:style>
  <w:style w:type="paragraph" w:customStyle="1" w:styleId="Puces3">
    <w:name w:val="Puces 3"/>
    <w:basedOn w:val="Texte9retrait"/>
    <w:rsid w:val="00176A4B"/>
    <w:pPr>
      <w:numPr>
        <w:numId w:val="22"/>
      </w:numPr>
      <w:spacing w:after="40" w:line="180" w:lineRule="exac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5</cp:revision>
  <dcterms:created xsi:type="dcterms:W3CDTF">2017-01-22T14:26:00Z</dcterms:created>
  <dcterms:modified xsi:type="dcterms:W3CDTF">2017-01-22T14:29:00Z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