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29F19" wp14:editId="4A4E7433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413C15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  <w:p w:rsidR="00413C15" w:rsidRDefault="004B3B7A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Programme Manager</w:t>
                            </w:r>
                            <w:r w:rsidR="00CE670D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- DWP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413C15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  <w:p w:rsidR="00413C15" w:rsidRDefault="004B3B7A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Programme Manager</w:t>
                      </w:r>
                      <w:r w:rsidR="00CE670D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- DWP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3ECC9481" wp14:editId="4969F9BF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265B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Government Services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BE5DD0" w:rsidRDefault="00E15DD1" w:rsidP="004B3B7A">
            <w:pPr>
              <w:pStyle w:val="Heading2"/>
              <w:rPr>
                <w:b w:val="0"/>
                <w:lang w:val="en-CA"/>
              </w:rPr>
            </w:pPr>
            <w:r w:rsidRPr="00BE5DD0">
              <w:rPr>
                <w:b w:val="0"/>
                <w:lang w:val="en-CA"/>
              </w:rPr>
              <w:t xml:space="preserve">Programme </w:t>
            </w:r>
            <w:r w:rsidR="004B3B7A">
              <w:rPr>
                <w:b w:val="0"/>
                <w:lang w:val="en-CA"/>
              </w:rPr>
              <w:t>Manager</w:t>
            </w:r>
            <w:r w:rsidR="00265B13" w:rsidRPr="00BE5DD0">
              <w:rPr>
                <w:b w:val="0"/>
                <w:lang w:val="en-CA"/>
              </w:rPr>
              <w:t xml:space="preserve"> </w:t>
            </w:r>
            <w:r w:rsidR="00BE5DD0">
              <w:rPr>
                <w:b w:val="0"/>
                <w:lang w:val="en-CA"/>
              </w:rPr>
              <w:t>- DWP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4B3B7A" w:rsidP="00AE5FE6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Head of </w:t>
            </w:r>
            <w:proofErr w:type="spellStart"/>
            <w:r>
              <w:rPr>
                <w:rFonts w:cs="Arial"/>
                <w:color w:val="000000"/>
                <w:szCs w:val="20"/>
              </w:rPr>
              <w:t>Programme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Management </w:t>
            </w:r>
            <w:r w:rsidR="00684A37">
              <w:rPr>
                <w:rFonts w:cs="Arial"/>
                <w:color w:val="000000"/>
                <w:szCs w:val="20"/>
              </w:rPr>
              <w:t xml:space="preserve">, </w:t>
            </w:r>
            <w:r w:rsidR="00AE5FE6">
              <w:rPr>
                <w:rFonts w:cs="Arial"/>
                <w:color w:val="000000"/>
                <w:szCs w:val="20"/>
              </w:rPr>
              <w:t>DWP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8F5172" w:rsidRDefault="00BE5DD0" w:rsidP="00265B1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4A37" w:rsidRPr="00315425" w:rsidRDefault="00684A37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34247B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1003C" w:rsidRDefault="00E15DD1" w:rsidP="00E15DD1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  <w:r w:rsidR="00454D45">
              <w:rPr>
                <w:color w:val="000000" w:themeColor="text1"/>
              </w:rPr>
              <w:t>deliver the</w:t>
            </w:r>
            <w:r>
              <w:rPr>
                <w:color w:val="000000" w:themeColor="text1"/>
              </w:rPr>
              <w:t xml:space="preserve"> programme management office and p</w:t>
            </w:r>
            <w:r w:rsidRPr="00E15DD1">
              <w:rPr>
                <w:color w:val="000000" w:themeColor="text1"/>
              </w:rPr>
              <w:t xml:space="preserve">roject </w:t>
            </w:r>
            <w:r>
              <w:rPr>
                <w:color w:val="000000" w:themeColor="text1"/>
              </w:rPr>
              <w:t>m</w:t>
            </w:r>
            <w:r w:rsidRPr="00E15DD1">
              <w:rPr>
                <w:color w:val="000000" w:themeColor="text1"/>
              </w:rPr>
              <w:t xml:space="preserve">anagement function </w:t>
            </w:r>
            <w:r w:rsidR="00454D45">
              <w:rPr>
                <w:color w:val="000000" w:themeColor="text1"/>
              </w:rPr>
              <w:t xml:space="preserve">of in-flight projects </w:t>
            </w:r>
            <w:r w:rsidRPr="00E15DD1">
              <w:rPr>
                <w:color w:val="000000" w:themeColor="text1"/>
              </w:rPr>
              <w:t xml:space="preserve">to </w:t>
            </w:r>
            <w:r w:rsidR="00454D45">
              <w:rPr>
                <w:color w:val="000000" w:themeColor="text1"/>
              </w:rPr>
              <w:t>ensure the expected levels of governance, control, and reporting</w:t>
            </w:r>
            <w:r w:rsidR="00D13700">
              <w:rPr>
                <w:color w:val="000000" w:themeColor="text1"/>
              </w:rPr>
              <w:t xml:space="preserve"> leading in accordance with the delivery model. </w:t>
            </w:r>
            <w:r w:rsidRPr="00E15DD1">
              <w:rPr>
                <w:color w:val="000000" w:themeColor="text1"/>
              </w:rPr>
              <w:t xml:space="preserve"> </w:t>
            </w:r>
          </w:p>
          <w:p w:rsidR="00E15DD1" w:rsidRDefault="00E15DD1" w:rsidP="00E15DD1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Management of multiple </w:t>
            </w:r>
            <w:r w:rsidR="00D65EC8">
              <w:rPr>
                <w:color w:val="000000" w:themeColor="text1"/>
              </w:rPr>
              <w:t>varied projects programme</w:t>
            </w:r>
            <w:r w:rsidR="00D13700">
              <w:rPr>
                <w:color w:val="000000" w:themeColor="text1"/>
              </w:rPr>
              <w:t>s</w:t>
            </w:r>
            <w:r w:rsidR="00D65EC8">
              <w:rPr>
                <w:color w:val="000000" w:themeColor="text1"/>
              </w:rPr>
              <w:t>, projects</w:t>
            </w:r>
            <w:r>
              <w:rPr>
                <w:color w:val="000000" w:themeColor="text1"/>
              </w:rPr>
              <w:t xml:space="preserve"> or portfolio of work within DWP</w:t>
            </w:r>
            <w:r w:rsidR="00D13700">
              <w:rPr>
                <w:color w:val="000000" w:themeColor="text1"/>
              </w:rPr>
              <w:t xml:space="preserve"> estate </w:t>
            </w:r>
            <w:r>
              <w:rPr>
                <w:color w:val="000000" w:themeColor="text1"/>
              </w:rPr>
              <w:t xml:space="preserve"> to meet identified business needs </w:t>
            </w:r>
            <w:r w:rsidR="00D1370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D13700">
              <w:rPr>
                <w:color w:val="000000" w:themeColor="text1"/>
              </w:rPr>
              <w:t>assigning works, monitoring performance and ensuring safe practices through the use of the Authority supply chain</w:t>
            </w:r>
          </w:p>
          <w:p w:rsidR="00E15DD1" w:rsidRPr="00432F84" w:rsidRDefault="00D13700" w:rsidP="00432F84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suitable management and communication through the project lifecycle.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EE8E9" wp14:editId="4859E1ED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BE5DD0" w:rsidP="0034247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</w:t>
            </w:r>
            <w:r w:rsidR="00366A73">
              <w:tab/>
              <w:t>Organisation chart</w:t>
            </w:r>
            <w:r w:rsidR="00366A73"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noProof/>
                <w:sz w:val="14"/>
                <w:szCs w:val="20"/>
                <w:lang w:val="en-GB" w:eastAsia="en-GB"/>
              </w:rPr>
              <w:drawing>
                <wp:inline distT="0" distB="0" distL="0" distR="0" wp14:anchorId="3B3D0C2D" wp14:editId="3008FFCD">
                  <wp:extent cx="5534167" cy="8989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537" cy="898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4A4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  <w:p w:rsidR="002504A4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  <w:p w:rsidR="002504A4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  <w:p w:rsidR="002504A4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  <w:p w:rsidR="002504A4" w:rsidRPr="00D376CF" w:rsidRDefault="002504A4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  <w:vanish/>
        </w:rPr>
      </w:pPr>
    </w:p>
    <w:p w:rsidR="00684A37" w:rsidRDefault="00684A37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BE5DD0" w:rsidP="0034247B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B8673C" w:rsidRDefault="006532E4" w:rsidP="00B8673C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</w:t>
            </w:r>
            <w:r w:rsidR="00486D63">
              <w:rPr>
                <w:rFonts w:cs="Arial"/>
                <w:color w:val="000000" w:themeColor="text1"/>
                <w:szCs w:val="20"/>
                <w:lang w:val="en-GB"/>
              </w:rPr>
              <w:t>evelopment and successful i</w:t>
            </w:r>
            <w:r w:rsidR="00E1003C">
              <w:rPr>
                <w:rFonts w:cs="Arial"/>
                <w:color w:val="000000" w:themeColor="text1"/>
                <w:szCs w:val="20"/>
                <w:lang w:val="en-GB"/>
              </w:rPr>
              <w:t xml:space="preserve">mplementation of a programme management </w:t>
            </w:r>
            <w:proofErr w:type="gramStart"/>
            <w:r w:rsidR="00E1003C">
              <w:rPr>
                <w:rFonts w:cs="Arial"/>
                <w:color w:val="000000" w:themeColor="text1"/>
                <w:szCs w:val="20"/>
                <w:lang w:val="en-GB"/>
              </w:rPr>
              <w:t>function</w:t>
            </w:r>
            <w:proofErr w:type="gramEnd"/>
            <w:r w:rsidR="00E1003C">
              <w:rPr>
                <w:rFonts w:cs="Arial"/>
                <w:color w:val="000000" w:themeColor="text1"/>
                <w:szCs w:val="20"/>
                <w:lang w:val="en-GB"/>
              </w:rPr>
              <w:t xml:space="preserve"> which is aligned to DWP priorities 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>and will ensure the effective delivery of capital works and life cycle projects.</w:t>
            </w:r>
          </w:p>
          <w:p w:rsidR="00B8673C" w:rsidRDefault="006532E4" w:rsidP="00B8673C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>elivery and execution of the programme management detailed solution in accordance with DWP values and behaviours</w:t>
            </w:r>
          </w:p>
          <w:p w:rsidR="001C552A" w:rsidRDefault="006532E4" w:rsidP="00B8673C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As directed by the Head of, 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>p</w:t>
            </w:r>
            <w:r w:rsidR="00B8673C" w:rsidRPr="00B8673C">
              <w:rPr>
                <w:rFonts w:cs="Arial"/>
                <w:color w:val="000000" w:themeColor="text1"/>
                <w:szCs w:val="20"/>
                <w:lang w:val="en-GB"/>
              </w:rPr>
              <w:t>roduce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and maintain an annual 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programme management detailed solution </w:t>
            </w:r>
            <w:r w:rsidR="00B8673C" w:rsidRP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for DWP which 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>details all anticipated, forecasted and planned projects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 and recommendations.</w:t>
            </w:r>
          </w:p>
          <w:p w:rsidR="00B8673C" w:rsidRPr="00B8673C" w:rsidRDefault="006532E4" w:rsidP="00B8673C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Use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 set process for communicating progress on projects – including: project reporting tools, expenditure, status reports on capital works assets</w:t>
            </w:r>
          </w:p>
          <w:p w:rsidR="000072E3" w:rsidRDefault="00E1003C" w:rsidP="00AF082B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Ensure 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 xml:space="preserve">programme and </w:t>
            </w:r>
            <w:r w:rsidR="00B4629F">
              <w:rPr>
                <w:rFonts w:cs="Arial"/>
                <w:color w:val="000000" w:themeColor="text1"/>
                <w:szCs w:val="20"/>
                <w:lang w:val="en-GB"/>
              </w:rPr>
              <w:t>projects are managed to ensure minimal disruption to Authority business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  <w:p w:rsidR="006A4959" w:rsidRDefault="006A4959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Management of projects in line with Sodexo framework</w:t>
            </w:r>
          </w:p>
          <w:p w:rsidR="006A4959" w:rsidRDefault="006A4959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Effective engagement with key stakeholders to ensure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 they are aware of 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 xml:space="preserve">programme and 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project,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key milestones and initiate corrective action where required.</w:t>
            </w:r>
          </w:p>
          <w:p w:rsidR="006A4959" w:rsidRDefault="006532E4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>nsure all project programmes</w:t>
            </w:r>
            <w:r w:rsidR="006A4959">
              <w:rPr>
                <w:rFonts w:cs="Arial"/>
                <w:color w:val="000000" w:themeColor="text1"/>
                <w:szCs w:val="20"/>
                <w:lang w:val="en-GB"/>
              </w:rPr>
              <w:t xml:space="preserve"> are fully planned with project plans, dependencies and reporting procedures</w:t>
            </w:r>
          </w:p>
          <w:p w:rsidR="006A4959" w:rsidRDefault="006532E4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Deliver</w:t>
            </w:r>
            <w:r w:rsidR="006A4959">
              <w:rPr>
                <w:rFonts w:cs="Arial"/>
                <w:color w:val="000000" w:themeColor="text1"/>
                <w:szCs w:val="20"/>
                <w:lang w:val="en-GB"/>
              </w:rPr>
              <w:t xml:space="preserve"> protocol for production initiation documentation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  <w:p w:rsidR="00B8673C" w:rsidRDefault="00B8673C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lastRenderedPageBreak/>
              <w:t>Ensure processes and procedures are de</w:t>
            </w:r>
            <w:r w:rsidR="006532E4">
              <w:rPr>
                <w:rFonts w:cs="Arial"/>
                <w:color w:val="000000" w:themeColor="text1"/>
                <w:szCs w:val="20"/>
                <w:lang w:val="en-GB"/>
              </w:rPr>
              <w:t>livered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for effective risk management -  risk logs, mitigating actions, establishment of contingency plans and robust escalation processes internally and externally</w:t>
            </w:r>
          </w:p>
          <w:p w:rsidR="00B8673C" w:rsidRDefault="006532E4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Input into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progress and project control reports for the steering group in accordance with governance requirements </w:t>
            </w:r>
          </w:p>
          <w:p w:rsidR="00B8673C" w:rsidRDefault="006532E4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Deliver in accordance with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project governance, administration and communication plans 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>liaising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with key stakeholders to ensure project documentation is fit for purpose and line with Authority requirements.</w:t>
            </w:r>
          </w:p>
          <w:p w:rsidR="00B8673C" w:rsidRPr="00B8673C" w:rsidRDefault="006532E4" w:rsidP="00B8673C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>ffective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ly manage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third party relationships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with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the supply chain including designers, contractors and equipment and material providers. </w:t>
            </w:r>
            <w:r w:rsidR="00D950E9">
              <w:rPr>
                <w:rFonts w:cs="Arial"/>
                <w:color w:val="000000" w:themeColor="text1"/>
                <w:szCs w:val="20"/>
                <w:lang w:val="en-GB"/>
              </w:rPr>
              <w:t xml:space="preserve">  Ensure contractors engaged within the supply chain are rigorously assessed on the basis of quality and value to DWP. </w:t>
            </w:r>
            <w:r w:rsidR="00B8673C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  <w:p w:rsidR="001C552A" w:rsidRDefault="00B8673C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1C552A">
              <w:rPr>
                <w:rFonts w:cs="Arial"/>
                <w:color w:val="000000" w:themeColor="text1"/>
                <w:szCs w:val="20"/>
                <w:lang w:val="en-GB"/>
              </w:rPr>
              <w:t>Manage relationships with third party contractors to ensure compliance and delivery o</w:t>
            </w:r>
            <w:r w:rsidR="001C552A">
              <w:rPr>
                <w:rFonts w:cs="Arial"/>
                <w:color w:val="000000" w:themeColor="text1"/>
                <w:szCs w:val="20"/>
                <w:lang w:val="en-GB"/>
              </w:rPr>
              <w:t>f program</w:t>
            </w:r>
            <w:r w:rsidR="00D950E9">
              <w:rPr>
                <w:rFonts w:cs="Arial"/>
                <w:color w:val="000000" w:themeColor="text1"/>
                <w:szCs w:val="20"/>
                <w:lang w:val="en-GB"/>
              </w:rPr>
              <w:t>mes to a high standard.</w:t>
            </w:r>
          </w:p>
          <w:p w:rsidR="006A4959" w:rsidRPr="001C552A" w:rsidRDefault="001C552A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1C552A">
              <w:rPr>
                <w:rFonts w:cs="Arial"/>
                <w:color w:val="000000" w:themeColor="text1"/>
                <w:szCs w:val="20"/>
                <w:lang w:val="en-GB"/>
              </w:rPr>
              <w:t xml:space="preserve">Ensure any statutory and mandatory requirements are met in relation to all life cycle and capital works projects. </w:t>
            </w:r>
          </w:p>
          <w:p w:rsidR="001C552A" w:rsidRDefault="001C552A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Co-ordinate and review projects to ensure any </w:t>
            </w:r>
            <w:proofErr w:type="gramStart"/>
            <w:r>
              <w:rPr>
                <w:rFonts w:cs="Arial"/>
                <w:color w:val="000000" w:themeColor="text1"/>
                <w:szCs w:val="20"/>
                <w:lang w:val="en-GB"/>
              </w:rPr>
              <w:t>efficiencies</w:t>
            </w:r>
            <w:proofErr w:type="gramEnd"/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are realised across the supply chain and that all interdependencies are met.</w:t>
            </w:r>
          </w:p>
          <w:p w:rsidR="001C552A" w:rsidRDefault="001C552A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Assist in the review of Authority design standards to make any recommendations or enhancements</w:t>
            </w:r>
          </w:p>
          <w:p w:rsidR="001C552A" w:rsidRDefault="001C552A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Ensure all projects meet required health and safety standards and that any security requirements are met </w:t>
            </w:r>
          </w:p>
          <w:p w:rsidR="001C552A" w:rsidRDefault="001C552A" w:rsidP="006A4959">
            <w:pPr>
              <w:pStyle w:val="ListParagraph"/>
              <w:numPr>
                <w:ilvl w:val="0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Develop and implement an audit and review mechanism of all projects</w:t>
            </w:r>
          </w:p>
          <w:p w:rsidR="00424476" w:rsidRPr="00D950E9" w:rsidRDefault="00424476" w:rsidP="00FF44B3">
            <w:pPr>
              <w:pStyle w:val="ListParagraph"/>
              <w:numPr>
                <w:ilvl w:val="2"/>
                <w:numId w:val="26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BE5DD0" w:rsidP="0034247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72987" w:rsidRDefault="00472987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A85FB9">
              <w:rPr>
                <w:rFonts w:cs="Arial"/>
                <w:color w:val="000000" w:themeColor="text1"/>
                <w:szCs w:val="20"/>
                <w:lang w:val="en-GB"/>
              </w:rPr>
              <w:t xml:space="preserve">Educated to Degree level </w:t>
            </w:r>
            <w:r w:rsidR="00540706">
              <w:rPr>
                <w:rFonts w:cs="Arial"/>
                <w:color w:val="000000" w:themeColor="text1"/>
                <w:szCs w:val="20"/>
                <w:lang w:val="en-GB"/>
              </w:rPr>
              <w:t xml:space="preserve">or equivalent </w:t>
            </w:r>
            <w:r w:rsidR="00A46A17">
              <w:rPr>
                <w:rFonts w:cs="Arial"/>
                <w:color w:val="000000" w:themeColor="text1"/>
                <w:szCs w:val="20"/>
                <w:lang w:val="en-GB"/>
              </w:rPr>
              <w:t>by experience</w:t>
            </w:r>
          </w:p>
          <w:p w:rsidR="00DC5B35" w:rsidRDefault="00FF44B3" w:rsidP="00FF44B3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Incorporated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 xml:space="preserve"> Engineer</w:t>
            </w:r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 xml:space="preserve"> or Surveyor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 xml:space="preserve"> or </w:t>
            </w:r>
            <w:r w:rsidR="002911E0" w:rsidRPr="00FF44B3">
              <w:rPr>
                <w:rFonts w:cs="Arial"/>
                <w:color w:val="000000" w:themeColor="text1"/>
                <w:szCs w:val="20"/>
                <w:lang w:val="en-GB"/>
              </w:rPr>
              <w:t xml:space="preserve">Holds a professional </w:t>
            </w:r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 xml:space="preserve">Project Management </w:t>
            </w:r>
            <w:r w:rsidR="002911E0" w:rsidRPr="00FF44B3">
              <w:rPr>
                <w:rFonts w:cs="Arial"/>
                <w:color w:val="000000" w:themeColor="text1"/>
                <w:szCs w:val="20"/>
                <w:lang w:val="en-GB"/>
              </w:rPr>
              <w:t xml:space="preserve">qualification </w:t>
            </w:r>
            <w:proofErr w:type="spellStart"/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>eg</w:t>
            </w:r>
            <w:r w:rsidR="002911E0" w:rsidRPr="00FF44B3">
              <w:rPr>
                <w:rFonts w:cs="Arial"/>
                <w:color w:val="000000" w:themeColor="text1"/>
                <w:szCs w:val="20"/>
                <w:lang w:val="en-GB"/>
              </w:rPr>
              <w:t>PMI</w:t>
            </w:r>
            <w:proofErr w:type="spellEnd"/>
            <w:r w:rsidR="00D65EC8" w:rsidRPr="00FF44B3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>(PMP), PMI (</w:t>
            </w:r>
            <w:proofErr w:type="spellStart"/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>PMPg</w:t>
            </w:r>
            <w:proofErr w:type="spellEnd"/>
            <w:r w:rsidR="00DC5B35">
              <w:rPr>
                <w:rFonts w:cs="Arial"/>
                <w:color w:val="000000" w:themeColor="text1"/>
                <w:szCs w:val="20"/>
                <w:lang w:val="en-GB"/>
              </w:rPr>
              <w:t>) or APM</w:t>
            </w:r>
          </w:p>
          <w:p w:rsidR="00BA2B7A" w:rsidRPr="00FF44B3" w:rsidRDefault="00D65EC8" w:rsidP="00FF44B3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F44B3">
              <w:rPr>
                <w:rFonts w:cs="Arial"/>
                <w:color w:val="000000" w:themeColor="text1"/>
                <w:szCs w:val="20"/>
                <w:lang w:val="en-GB"/>
              </w:rPr>
              <w:t>NEBOSH Construction Certificate</w:t>
            </w:r>
          </w:p>
          <w:p w:rsidR="002911E0" w:rsidRDefault="00187C8D" w:rsidP="00187C8D">
            <w:pPr>
              <w:pStyle w:val="ListParagraph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Comprehensive</w:t>
            </w:r>
            <w:r w:rsidR="00814227">
              <w:rPr>
                <w:rFonts w:cs="Arial"/>
                <w:color w:val="000000" w:themeColor="text1"/>
                <w:szCs w:val="20"/>
                <w:lang w:val="en-GB"/>
              </w:rPr>
              <w:t xml:space="preserve"> experience</w:t>
            </w:r>
            <w:r w:rsidR="002911E0">
              <w:rPr>
                <w:rFonts w:cs="Arial"/>
                <w:color w:val="000000" w:themeColor="text1"/>
                <w:szCs w:val="20"/>
                <w:lang w:val="en-GB"/>
              </w:rPr>
              <w:t xml:space="preserve"> in a full lifecycle project management role</w:t>
            </w:r>
          </w:p>
          <w:p w:rsidR="002911E0" w:rsidRDefault="002911E0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Good knowledge of best practice and standards such as, </w:t>
            </w:r>
            <w:r w:rsidR="00D65EC8">
              <w:rPr>
                <w:rFonts w:cs="Arial"/>
                <w:color w:val="000000" w:themeColor="text1"/>
                <w:szCs w:val="20"/>
                <w:lang w:val="en-GB"/>
              </w:rPr>
              <w:t>ISO9001,CDM and relevant British and Regulatory Standards</w:t>
            </w:r>
          </w:p>
          <w:p w:rsidR="002911E0" w:rsidRDefault="00D65EC8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Evidence of </w:t>
            </w:r>
            <w:r w:rsidR="00FF44B3">
              <w:rPr>
                <w:rFonts w:cs="Arial"/>
                <w:color w:val="000000" w:themeColor="text1"/>
                <w:szCs w:val="20"/>
                <w:lang w:val="en-GB"/>
              </w:rPr>
              <w:t>delivery of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Programme and Capital </w:t>
            </w:r>
            <w:r w:rsidR="00FF44B3">
              <w:rPr>
                <w:rFonts w:cs="Arial"/>
                <w:color w:val="000000" w:themeColor="text1"/>
                <w:szCs w:val="20"/>
                <w:lang w:val="en-GB"/>
              </w:rPr>
              <w:t xml:space="preserve">Projects </w:t>
            </w:r>
            <w:r w:rsidR="002911E0">
              <w:rPr>
                <w:rFonts w:cs="Arial"/>
                <w:color w:val="000000" w:themeColor="text1"/>
                <w:szCs w:val="20"/>
                <w:lang w:val="en-GB"/>
              </w:rPr>
              <w:t>in large corporate environments and working with customers at all levels</w:t>
            </w:r>
          </w:p>
          <w:p w:rsidR="002911E0" w:rsidRDefault="002911E0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Excellent communication skills both written and verbal</w:t>
            </w:r>
          </w:p>
          <w:p w:rsidR="002911E0" w:rsidRDefault="002911E0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Demonstrable experience of forward planning, problem solving, analytical thinking</w:t>
            </w:r>
          </w:p>
          <w:p w:rsidR="002911E0" w:rsidRDefault="002911E0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Consultancy background </w:t>
            </w:r>
          </w:p>
          <w:p w:rsidR="002911E0" w:rsidRDefault="00D65EC8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Knowledge of CAFM systems</w:t>
            </w:r>
          </w:p>
          <w:p w:rsidR="00DC5B35" w:rsidRDefault="00DC5B35" w:rsidP="00A85FB9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Experience of Managing Agent or Integrator Model </w:t>
            </w:r>
            <w:r w:rsidR="00187C8D">
              <w:rPr>
                <w:rFonts w:cs="Arial"/>
                <w:color w:val="000000" w:themeColor="text1"/>
                <w:szCs w:val="20"/>
                <w:lang w:val="en-GB"/>
              </w:rPr>
              <w:t>preferable</w:t>
            </w:r>
            <w:bookmarkStart w:id="0" w:name="_GoBack"/>
            <w:bookmarkEnd w:id="0"/>
          </w:p>
          <w:p w:rsidR="00F96416" w:rsidRPr="00F96416" w:rsidRDefault="00F96416" w:rsidP="00BE5DD0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pt;height:10.2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D6EA6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7E07"/>
    <w:multiLevelType w:val="hybridMultilevel"/>
    <w:tmpl w:val="3266D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6EF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FF0000"/>
        <w:sz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B5E8F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006280"/>
    <w:multiLevelType w:val="hybridMultilevel"/>
    <w:tmpl w:val="3F783908"/>
    <w:lvl w:ilvl="0" w:tplc="32008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AD6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AE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C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5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82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ED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CD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3E4768C2"/>
    <w:multiLevelType w:val="hybridMultilevel"/>
    <w:tmpl w:val="354612A0"/>
    <w:lvl w:ilvl="0" w:tplc="FBD6F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A07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C1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8E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0A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4F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4A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687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A0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0762B"/>
    <w:multiLevelType w:val="hybridMultilevel"/>
    <w:tmpl w:val="410CC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E66CE"/>
    <w:multiLevelType w:val="hybridMultilevel"/>
    <w:tmpl w:val="E63E5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225EA"/>
    <w:multiLevelType w:val="hybridMultilevel"/>
    <w:tmpl w:val="977AC178"/>
    <w:lvl w:ilvl="0" w:tplc="9BA6D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0EE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40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41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EC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28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67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4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6F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3489A"/>
    <w:multiLevelType w:val="hybridMultilevel"/>
    <w:tmpl w:val="BE626D26"/>
    <w:lvl w:ilvl="0" w:tplc="78A266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6CB12"/>
        <w:sz w:val="32"/>
        <w:szCs w:val="32"/>
        <w:vertAlign w:val="baseli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17540"/>
    <w:multiLevelType w:val="hybridMultilevel"/>
    <w:tmpl w:val="49D270B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18"/>
  </w:num>
  <w:num w:numId="8">
    <w:abstractNumId w:val="7"/>
  </w:num>
  <w:num w:numId="9">
    <w:abstractNumId w:val="23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4"/>
  </w:num>
  <w:num w:numId="15">
    <w:abstractNumId w:val="21"/>
  </w:num>
  <w:num w:numId="16">
    <w:abstractNumId w:val="22"/>
  </w:num>
  <w:num w:numId="17">
    <w:abstractNumId w:val="25"/>
  </w:num>
  <w:num w:numId="18">
    <w:abstractNumId w:val="12"/>
  </w:num>
  <w:num w:numId="19">
    <w:abstractNumId w:val="20"/>
  </w:num>
  <w:num w:numId="20">
    <w:abstractNumId w:val="16"/>
  </w:num>
  <w:num w:numId="21">
    <w:abstractNumId w:val="9"/>
  </w:num>
  <w:num w:numId="22">
    <w:abstractNumId w:val="11"/>
  </w:num>
  <w:num w:numId="23">
    <w:abstractNumId w:val="15"/>
  </w:num>
  <w:num w:numId="24">
    <w:abstractNumId w:val="6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072E3"/>
    <w:rsid w:val="00011532"/>
    <w:rsid w:val="00023BCF"/>
    <w:rsid w:val="00086FFE"/>
    <w:rsid w:val="000A58F1"/>
    <w:rsid w:val="000A6839"/>
    <w:rsid w:val="000E3EF7"/>
    <w:rsid w:val="000F6D14"/>
    <w:rsid w:val="00104BDE"/>
    <w:rsid w:val="001321E0"/>
    <w:rsid w:val="00135EB4"/>
    <w:rsid w:val="00144E5D"/>
    <w:rsid w:val="00171F64"/>
    <w:rsid w:val="00187C8D"/>
    <w:rsid w:val="001C552A"/>
    <w:rsid w:val="001D34E2"/>
    <w:rsid w:val="001F1F6A"/>
    <w:rsid w:val="002504A4"/>
    <w:rsid w:val="00265B13"/>
    <w:rsid w:val="002663E3"/>
    <w:rsid w:val="002911E0"/>
    <w:rsid w:val="00293E5D"/>
    <w:rsid w:val="00296939"/>
    <w:rsid w:val="002B08E7"/>
    <w:rsid w:val="002B1DC6"/>
    <w:rsid w:val="002B60A5"/>
    <w:rsid w:val="003107A7"/>
    <w:rsid w:val="0033199E"/>
    <w:rsid w:val="0034247B"/>
    <w:rsid w:val="00366A73"/>
    <w:rsid w:val="003763C0"/>
    <w:rsid w:val="00394DA4"/>
    <w:rsid w:val="003F36B1"/>
    <w:rsid w:val="003F54C6"/>
    <w:rsid w:val="00413C15"/>
    <w:rsid w:val="004238D8"/>
    <w:rsid w:val="00424476"/>
    <w:rsid w:val="00424F0D"/>
    <w:rsid w:val="00432F84"/>
    <w:rsid w:val="00454D45"/>
    <w:rsid w:val="00455812"/>
    <w:rsid w:val="00462EAC"/>
    <w:rsid w:val="00472987"/>
    <w:rsid w:val="00475E32"/>
    <w:rsid w:val="00481A0C"/>
    <w:rsid w:val="00486D63"/>
    <w:rsid w:val="004B3B7A"/>
    <w:rsid w:val="004D170A"/>
    <w:rsid w:val="00520545"/>
    <w:rsid w:val="005213A6"/>
    <w:rsid w:val="00540706"/>
    <w:rsid w:val="00594667"/>
    <w:rsid w:val="005B0AA9"/>
    <w:rsid w:val="005E5B63"/>
    <w:rsid w:val="0060268D"/>
    <w:rsid w:val="00613392"/>
    <w:rsid w:val="00616B0B"/>
    <w:rsid w:val="00645AA5"/>
    <w:rsid w:val="00646B79"/>
    <w:rsid w:val="006532E4"/>
    <w:rsid w:val="00656519"/>
    <w:rsid w:val="00674674"/>
    <w:rsid w:val="006802C0"/>
    <w:rsid w:val="00684A37"/>
    <w:rsid w:val="006A4959"/>
    <w:rsid w:val="006F7478"/>
    <w:rsid w:val="00713B0D"/>
    <w:rsid w:val="00745A24"/>
    <w:rsid w:val="007F602D"/>
    <w:rsid w:val="00810930"/>
    <w:rsid w:val="00814227"/>
    <w:rsid w:val="00837B14"/>
    <w:rsid w:val="00843665"/>
    <w:rsid w:val="008575BC"/>
    <w:rsid w:val="008938D4"/>
    <w:rsid w:val="008B64DE"/>
    <w:rsid w:val="008D1A2B"/>
    <w:rsid w:val="008E15F6"/>
    <w:rsid w:val="008F509D"/>
    <w:rsid w:val="008F5172"/>
    <w:rsid w:val="009158D2"/>
    <w:rsid w:val="0094545A"/>
    <w:rsid w:val="0097106D"/>
    <w:rsid w:val="00993F2B"/>
    <w:rsid w:val="009A2BBB"/>
    <w:rsid w:val="009E3F3C"/>
    <w:rsid w:val="00A07F8E"/>
    <w:rsid w:val="00A37146"/>
    <w:rsid w:val="00A46A17"/>
    <w:rsid w:val="00A724F3"/>
    <w:rsid w:val="00A76364"/>
    <w:rsid w:val="00A85FB9"/>
    <w:rsid w:val="00AD1DEC"/>
    <w:rsid w:val="00AE5FE6"/>
    <w:rsid w:val="00AE6198"/>
    <w:rsid w:val="00AF082B"/>
    <w:rsid w:val="00B16F30"/>
    <w:rsid w:val="00B36239"/>
    <w:rsid w:val="00B4629F"/>
    <w:rsid w:val="00B61500"/>
    <w:rsid w:val="00B70457"/>
    <w:rsid w:val="00B82237"/>
    <w:rsid w:val="00B8673C"/>
    <w:rsid w:val="00BA2B7A"/>
    <w:rsid w:val="00BB51A8"/>
    <w:rsid w:val="00BD2219"/>
    <w:rsid w:val="00BE5DD0"/>
    <w:rsid w:val="00BF1E49"/>
    <w:rsid w:val="00C109EA"/>
    <w:rsid w:val="00C3013E"/>
    <w:rsid w:val="00C4467B"/>
    <w:rsid w:val="00C4695A"/>
    <w:rsid w:val="00C61430"/>
    <w:rsid w:val="00CC0297"/>
    <w:rsid w:val="00CC2929"/>
    <w:rsid w:val="00CE670D"/>
    <w:rsid w:val="00D01DC6"/>
    <w:rsid w:val="00D13700"/>
    <w:rsid w:val="00D3233B"/>
    <w:rsid w:val="00D65EC8"/>
    <w:rsid w:val="00D949FB"/>
    <w:rsid w:val="00D950E9"/>
    <w:rsid w:val="00DB4142"/>
    <w:rsid w:val="00DC040D"/>
    <w:rsid w:val="00DC5B35"/>
    <w:rsid w:val="00DE46D6"/>
    <w:rsid w:val="00DE5E49"/>
    <w:rsid w:val="00DF1DD2"/>
    <w:rsid w:val="00E1003C"/>
    <w:rsid w:val="00E15DD1"/>
    <w:rsid w:val="00E31AA0"/>
    <w:rsid w:val="00E33C91"/>
    <w:rsid w:val="00E57078"/>
    <w:rsid w:val="00E62850"/>
    <w:rsid w:val="00E70392"/>
    <w:rsid w:val="00E86121"/>
    <w:rsid w:val="00E93ADD"/>
    <w:rsid w:val="00EA3990"/>
    <w:rsid w:val="00EA4C16"/>
    <w:rsid w:val="00EA5822"/>
    <w:rsid w:val="00EC3D6A"/>
    <w:rsid w:val="00ED731C"/>
    <w:rsid w:val="00EF6ED7"/>
    <w:rsid w:val="00F32E2F"/>
    <w:rsid w:val="00F479E6"/>
    <w:rsid w:val="00F6405B"/>
    <w:rsid w:val="00F80587"/>
    <w:rsid w:val="00F96416"/>
    <w:rsid w:val="00FC337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3">
    <w:name w:val="Puce 3"/>
    <w:basedOn w:val="Normal"/>
    <w:qFormat/>
    <w:rsid w:val="00265B13"/>
    <w:pPr>
      <w:numPr>
        <w:numId w:val="20"/>
      </w:numPr>
      <w:spacing w:before="40" w:after="40"/>
    </w:pPr>
    <w:rPr>
      <w:rFonts w:eastAsia="MS Mincho" w:cs="Arial"/>
      <w:bCs/>
      <w:color w:val="000000"/>
      <w:sz w:val="22"/>
      <w:szCs w:val="22"/>
      <w:lang w:val="en-GB"/>
    </w:rPr>
  </w:style>
  <w:style w:type="paragraph" w:customStyle="1" w:styleId="Puce2">
    <w:name w:val="Puce 2"/>
    <w:basedOn w:val="Normal"/>
    <w:next w:val="Normal"/>
    <w:qFormat/>
    <w:rsid w:val="00B61500"/>
    <w:pPr>
      <w:numPr>
        <w:numId w:val="21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3">
    <w:name w:val="Puce 3"/>
    <w:basedOn w:val="Normal"/>
    <w:qFormat/>
    <w:rsid w:val="00265B13"/>
    <w:pPr>
      <w:numPr>
        <w:numId w:val="20"/>
      </w:numPr>
      <w:spacing w:before="40" w:after="40"/>
    </w:pPr>
    <w:rPr>
      <w:rFonts w:eastAsia="MS Mincho" w:cs="Arial"/>
      <w:bCs/>
      <w:color w:val="000000"/>
      <w:sz w:val="22"/>
      <w:szCs w:val="22"/>
      <w:lang w:val="en-GB"/>
    </w:rPr>
  </w:style>
  <w:style w:type="paragraph" w:customStyle="1" w:styleId="Puce2">
    <w:name w:val="Puce 2"/>
    <w:basedOn w:val="Normal"/>
    <w:next w:val="Normal"/>
    <w:qFormat/>
    <w:rsid w:val="00B61500"/>
    <w:pPr>
      <w:numPr>
        <w:numId w:val="21"/>
      </w:numPr>
      <w:spacing w:before="40" w:after="40"/>
      <w:ind w:left="284"/>
    </w:pPr>
    <w:rPr>
      <w:rFonts w:eastAsia="MS Mincho" w:cs="Arial"/>
      <w:bCs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924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855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2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44A0-510A-4EB6-9CDB-56FDDA41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3</cp:revision>
  <dcterms:created xsi:type="dcterms:W3CDTF">2017-07-11T13:17:00Z</dcterms:created>
  <dcterms:modified xsi:type="dcterms:W3CDTF">2017-07-11T13:18:00Z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