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1658241"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0F582B9" w:rsidR="00685BE2" w:rsidRPr="00707D60" w:rsidRDefault="00452A74" w:rsidP="00452A74">
                            <w:pPr>
                              <w:jc w:val="left"/>
                              <w:rPr>
                                <w:b/>
                                <w:bCs/>
                                <w:color w:val="FFFFFF" w:themeColor="background1"/>
                                <w:sz w:val="40"/>
                                <w:szCs w:val="40"/>
                                <w:lang w:val="en-AU"/>
                              </w:rPr>
                            </w:pPr>
                            <w:r w:rsidRPr="00452A74">
                              <w:rPr>
                                <w:b/>
                                <w:bCs/>
                                <w:color w:val="FFFFFF" w:themeColor="background1"/>
                                <w:sz w:val="44"/>
                                <w:szCs w:val="44"/>
                                <w:lang w:val="en-AU"/>
                              </w:rPr>
                              <w:t>Power BI Data &amp; Reporting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0F582B9" w:rsidR="00685BE2" w:rsidRPr="00707D60" w:rsidRDefault="00452A74" w:rsidP="00452A74">
                      <w:pPr>
                        <w:jc w:val="left"/>
                        <w:rPr>
                          <w:b/>
                          <w:bCs/>
                          <w:color w:val="FFFFFF" w:themeColor="background1"/>
                          <w:sz w:val="40"/>
                          <w:szCs w:val="40"/>
                          <w:lang w:val="en-AU"/>
                        </w:rPr>
                      </w:pPr>
                      <w:r w:rsidRPr="00452A74">
                        <w:rPr>
                          <w:b/>
                          <w:bCs/>
                          <w:color w:val="FFFFFF" w:themeColor="background1"/>
                          <w:sz w:val="44"/>
                          <w:szCs w:val="44"/>
                          <w:lang w:val="en-AU"/>
                        </w:rPr>
                        <w:t>Power BI Data &amp; Reporting Manager</w:t>
                      </w:r>
                    </w:p>
                  </w:txbxContent>
                </v:textbox>
                <w10:wrap type="tight" anchorx="margin"/>
              </v:shape>
            </w:pict>
          </mc:Fallback>
        </mc:AlternateContent>
      </w:r>
      <w:r w:rsidR="00AA28F9">
        <w:rPr>
          <w:noProof/>
        </w:rPr>
        <w:drawing>
          <wp:anchor distT="0" distB="0" distL="114300" distR="114300" simplePos="0" relativeHeight="251658242"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1658240"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0F857" id="Rectangle 3" o:spid="_x0000_s1026" style="position:absolute;margin-left:0;margin-top:-84.75pt;width:595.2pt;height:189.9pt;z-index:25165824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41353584"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r w:rsidR="008812A2">
              <w:rPr>
                <w:b w:val="0"/>
              </w:rPr>
              <w:t xml:space="preserve"> </w:t>
            </w:r>
          </w:p>
        </w:tc>
        <w:tc>
          <w:tcPr>
            <w:tcW w:w="7123" w:type="dxa"/>
            <w:tcBorders>
              <w:top w:val="single" w:sz="4" w:space="0" w:color="auto"/>
              <w:left w:val="nil"/>
              <w:bottom w:val="dotted" w:sz="4" w:space="0" w:color="auto"/>
              <w:right w:val="single" w:sz="4" w:space="0" w:color="auto"/>
            </w:tcBorders>
            <w:vAlign w:val="center"/>
          </w:tcPr>
          <w:p w14:paraId="486EC8E0" w14:textId="40CE351A" w:rsidR="00800A60" w:rsidRPr="00A824A9" w:rsidRDefault="008812A2" w:rsidP="00800A60">
            <w:pPr>
              <w:spacing w:before="20" w:after="20"/>
              <w:jc w:val="left"/>
              <w:rPr>
                <w:rFonts w:cs="Arial"/>
                <w:color w:val="000000" w:themeColor="text1"/>
                <w:szCs w:val="20"/>
              </w:rPr>
            </w:pPr>
            <w:r w:rsidRPr="008812A2">
              <w:rPr>
                <w:rFonts w:cs="Arial"/>
                <w:color w:val="000000" w:themeColor="text1"/>
                <w:szCs w:val="20"/>
              </w:rPr>
              <w:t>Government UK &amp; Ireland, Property Professional Services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CB1B0EC" w:rsidR="00800A60" w:rsidRPr="00A824A9" w:rsidRDefault="00452A74" w:rsidP="00800A60">
            <w:pPr>
              <w:spacing w:before="20" w:after="20"/>
              <w:jc w:val="left"/>
              <w:rPr>
                <w:rFonts w:cs="Arial"/>
                <w:color w:val="000000" w:themeColor="text1"/>
                <w:szCs w:val="20"/>
                <w:lang w:val="en-GB"/>
              </w:rPr>
            </w:pPr>
            <w:r w:rsidRPr="00452A74">
              <w:rPr>
                <w:rFonts w:cs="Arial"/>
                <w:color w:val="000000" w:themeColor="text1"/>
                <w:szCs w:val="20"/>
                <w:lang w:val="en-GB"/>
              </w:rPr>
              <w:t>Power BI Data &amp; Reporting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F9E1104" w:rsidR="00800A60" w:rsidRDefault="00A86A70" w:rsidP="00800A60">
            <w:pPr>
              <w:spacing w:before="20" w:after="20"/>
              <w:jc w:val="left"/>
              <w:rPr>
                <w:rFonts w:cs="Arial"/>
                <w:color w:val="000000" w:themeColor="text1"/>
                <w:szCs w:val="20"/>
              </w:rPr>
            </w:pPr>
            <w:r w:rsidRPr="00A86A70">
              <w:rPr>
                <w:rFonts w:cs="Arial"/>
                <w:color w:val="000000" w:themeColor="text1"/>
                <w:szCs w:val="20"/>
              </w:rPr>
              <w:t>Head of Strategic Property Services</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E2BF4C1" w:rsidR="00800A60" w:rsidRDefault="0089614B" w:rsidP="00800A60">
            <w:pPr>
              <w:spacing w:before="20" w:after="20"/>
              <w:jc w:val="left"/>
              <w:rPr>
                <w:rFonts w:cs="Arial"/>
                <w:color w:val="000000" w:themeColor="text1"/>
                <w:szCs w:val="20"/>
              </w:rPr>
            </w:pPr>
            <w:r w:rsidRPr="0089614B">
              <w:rPr>
                <w:rFonts w:cs="Arial"/>
                <w:color w:val="000000" w:themeColor="text1"/>
                <w:szCs w:val="20"/>
              </w:rPr>
              <w:t xml:space="preserve">London </w:t>
            </w:r>
            <w:r>
              <w:rPr>
                <w:rFonts w:cs="Arial"/>
                <w:color w:val="000000" w:themeColor="text1"/>
                <w:szCs w:val="20"/>
              </w:rPr>
              <w:t>/</w:t>
            </w:r>
            <w:r w:rsidRPr="0089614B">
              <w:rPr>
                <w:rFonts w:cs="Arial"/>
                <w:color w:val="000000" w:themeColor="text1"/>
                <w:szCs w:val="20"/>
              </w:rPr>
              <w:t xml:space="preserve"> Swindon </w:t>
            </w:r>
            <w:r>
              <w:rPr>
                <w:rFonts w:cs="Arial"/>
                <w:color w:val="000000" w:themeColor="text1"/>
                <w:szCs w:val="20"/>
              </w:rPr>
              <w:t>/</w:t>
            </w:r>
            <w:r w:rsidRPr="0089614B">
              <w:rPr>
                <w:rFonts w:cs="Arial"/>
                <w:color w:val="000000" w:themeColor="text1"/>
                <w:szCs w:val="20"/>
              </w:rPr>
              <w:t xml:space="preserve"> hybrid</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11B4B84B" w14:textId="77777777" w:rsidR="004A3939" w:rsidRPr="004A3939" w:rsidRDefault="004A3939" w:rsidP="004A3939">
            <w:pPr>
              <w:jc w:val="left"/>
              <w:rPr>
                <w:rFonts w:cs="Arial"/>
                <w:color w:val="000000" w:themeColor="text1"/>
                <w:szCs w:val="20"/>
              </w:rPr>
            </w:pPr>
            <w:r w:rsidRPr="004A3939">
              <w:rPr>
                <w:rFonts w:cs="Arial"/>
                <w:color w:val="000000" w:themeColor="text1"/>
                <w:szCs w:val="20"/>
              </w:rPr>
              <w:t>This role involves working in partnership with a high-profile blue light service organisation to provide reporting and analysis through the Common Data Environment across all contract services to enable the effective management of client premises and to drive strategy and improvement activity.</w:t>
            </w:r>
          </w:p>
          <w:p w14:paraId="5D0ED2D6" w14:textId="77777777" w:rsidR="004A3939" w:rsidRPr="004A3939" w:rsidRDefault="004A3939" w:rsidP="004A3939">
            <w:pPr>
              <w:jc w:val="left"/>
              <w:rPr>
                <w:rFonts w:cs="Arial"/>
                <w:color w:val="000000" w:themeColor="text1"/>
                <w:szCs w:val="20"/>
              </w:rPr>
            </w:pPr>
            <w:r w:rsidRPr="004A3939">
              <w:rPr>
                <w:rFonts w:cs="Arial"/>
                <w:color w:val="000000" w:themeColor="text1"/>
                <w:szCs w:val="20"/>
              </w:rPr>
              <w:t xml:space="preserve">Reporting to the Head of Strategic Property Services, this role will be part of a team of specialist property analysts and economists deploying a range of analysis, reporting and visualisation techniques across all aspects of the property lifecycle including (but not limited to): </w:t>
            </w:r>
          </w:p>
          <w:p w14:paraId="37976B40" w14:textId="77777777" w:rsidR="007E4E99" w:rsidRDefault="004A3939" w:rsidP="004A3939">
            <w:pPr>
              <w:pStyle w:val="ListParagraph"/>
              <w:numPr>
                <w:ilvl w:val="0"/>
                <w:numId w:val="33"/>
              </w:numPr>
              <w:jc w:val="left"/>
              <w:rPr>
                <w:rFonts w:cs="Arial"/>
                <w:color w:val="000000" w:themeColor="text1"/>
                <w:szCs w:val="20"/>
              </w:rPr>
            </w:pPr>
            <w:r w:rsidRPr="004A3939">
              <w:rPr>
                <w:rFonts w:cs="Arial"/>
                <w:color w:val="000000" w:themeColor="text1"/>
                <w:szCs w:val="20"/>
              </w:rPr>
              <w:t>Estates analysis;</w:t>
            </w:r>
          </w:p>
          <w:p w14:paraId="56C9925E" w14:textId="5ADEFCDC" w:rsidR="004A3939" w:rsidRP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Property finance and cost analysis;</w:t>
            </w:r>
          </w:p>
          <w:p w14:paraId="0E00FA97" w14:textId="289069CE" w:rsidR="004A3939" w:rsidRP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Property performance analysis;</w:t>
            </w:r>
          </w:p>
          <w:p w14:paraId="569A2F8C" w14:textId="5CB560C1" w:rsidR="004A3939" w:rsidRP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Asset management, maintenance, and replacement (life cycle planning, forward maintenance planning, compliance).</w:t>
            </w:r>
          </w:p>
          <w:p w14:paraId="741EECA4" w14:textId="007246BA" w:rsidR="004A3939" w:rsidRP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People and workplace management analysis;</w:t>
            </w:r>
          </w:p>
          <w:p w14:paraId="61694729" w14:textId="42CCE9C4" w:rsidR="004A3939" w:rsidRP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Capital projects and investment analysis;</w:t>
            </w:r>
          </w:p>
          <w:p w14:paraId="1EDBEC34" w14:textId="0BD276F1" w:rsidR="004A3939" w:rsidRP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Facilities management analysis;</w:t>
            </w:r>
          </w:p>
          <w:p w14:paraId="42EFDB06" w14:textId="77777777" w:rsid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Energy/Utilities analysis;</w:t>
            </w:r>
          </w:p>
          <w:p w14:paraId="2A200331" w14:textId="42B8B476" w:rsidR="004A3939" w:rsidRP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Contributing to investment appraisal and business case development;</w:t>
            </w:r>
          </w:p>
          <w:p w14:paraId="2927299F" w14:textId="209F5349" w:rsidR="004A3939" w:rsidRPr="007E4E99" w:rsidRDefault="004A3939" w:rsidP="007E4E99">
            <w:pPr>
              <w:pStyle w:val="ListParagraph"/>
              <w:numPr>
                <w:ilvl w:val="0"/>
                <w:numId w:val="33"/>
              </w:numPr>
              <w:jc w:val="left"/>
              <w:rPr>
                <w:rFonts w:cs="Arial"/>
                <w:color w:val="000000" w:themeColor="text1"/>
                <w:szCs w:val="20"/>
              </w:rPr>
            </w:pPr>
            <w:r w:rsidRPr="007E4E99">
              <w:rPr>
                <w:rFonts w:cs="Arial"/>
                <w:color w:val="000000" w:themeColor="text1"/>
                <w:szCs w:val="20"/>
              </w:rPr>
              <w:t xml:space="preserve">Supply chain performance analysis. </w:t>
            </w:r>
          </w:p>
          <w:p w14:paraId="09FFDD4E" w14:textId="5E7482CA" w:rsidR="0060007C" w:rsidRPr="004A3939" w:rsidRDefault="004A3939" w:rsidP="004A3939">
            <w:pPr>
              <w:jc w:val="left"/>
              <w:rPr>
                <w:rFonts w:cs="Arial"/>
                <w:color w:val="000000" w:themeColor="text1"/>
                <w:szCs w:val="20"/>
              </w:rPr>
            </w:pPr>
            <w:r w:rsidRPr="004A3939">
              <w:rPr>
                <w:rFonts w:cs="Arial"/>
                <w:color w:val="000000" w:themeColor="text1"/>
                <w:szCs w:val="20"/>
              </w:rPr>
              <w:t>The post holder will also play a key role supporting Property Professional Services business development activities and provide leadership and strategic advice in relation to Business Analysis and Reporting within PSS and wider Sodexo, promoting the analytical capability of the team and delivery platforms.</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5D6E49">
        <w:tc>
          <w:tcPr>
            <w:tcW w:w="10375" w:type="dxa"/>
            <w:tcBorders>
              <w:top w:val="dotted" w:sz="4" w:space="0" w:color="auto"/>
              <w:left w:val="single" w:sz="2" w:space="0" w:color="auto"/>
              <w:bottom w:val="dotted"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3DA69AEC" w14:textId="77777777" w:rsidR="00140BAF" w:rsidRPr="00140BAF" w:rsidRDefault="00140BAF" w:rsidP="00140BAF">
            <w:pPr>
              <w:pStyle w:val="ListParagraph"/>
              <w:numPr>
                <w:ilvl w:val="0"/>
                <w:numId w:val="22"/>
              </w:numPr>
              <w:jc w:val="left"/>
              <w:rPr>
                <w:rFonts w:cs="Arial"/>
                <w:color w:val="000000" w:themeColor="text1"/>
                <w:szCs w:val="20"/>
              </w:rPr>
            </w:pPr>
            <w:r w:rsidRPr="00140BAF">
              <w:rPr>
                <w:rFonts w:cs="Arial"/>
                <w:color w:val="000000" w:themeColor="text1"/>
                <w:szCs w:val="20"/>
              </w:rPr>
              <w:t xml:space="preserve">Work closely with the Service Leads in the areas of requirements analysis, UAT of new data sources where required &amp; ultimately design, development, testing and delivery of reporting outputs to their requirements, maintaining an audit trail and quality version and source control for all reporting products. </w:t>
            </w:r>
          </w:p>
          <w:p w14:paraId="0E5250DB" w14:textId="3B922D78" w:rsidR="008260DB" w:rsidRDefault="00140BAF" w:rsidP="00140BAF">
            <w:pPr>
              <w:pStyle w:val="ListParagraph"/>
              <w:numPr>
                <w:ilvl w:val="0"/>
                <w:numId w:val="22"/>
              </w:numPr>
              <w:jc w:val="left"/>
              <w:rPr>
                <w:rFonts w:cs="Arial"/>
                <w:color w:val="000000" w:themeColor="text1"/>
                <w:szCs w:val="20"/>
              </w:rPr>
            </w:pPr>
            <w:r w:rsidRPr="00140BAF">
              <w:rPr>
                <w:rFonts w:cs="Arial"/>
                <w:color w:val="000000" w:themeColor="text1"/>
                <w:szCs w:val="20"/>
              </w:rPr>
              <w:t>Ensuring that all items promoted to a production reporting environment have undergone rigorous UAT and that they meet the necessary standards of quality both in terms of content &amp; visual appearance</w:t>
            </w:r>
          </w:p>
          <w:p w14:paraId="45D49BCA" w14:textId="77777777" w:rsidR="005D6E49" w:rsidRPr="005D6E49" w:rsidRDefault="005D6E49" w:rsidP="005D6E49">
            <w:pPr>
              <w:pStyle w:val="ListParagraph"/>
              <w:numPr>
                <w:ilvl w:val="0"/>
                <w:numId w:val="22"/>
              </w:numPr>
              <w:jc w:val="left"/>
              <w:rPr>
                <w:rFonts w:cs="Arial"/>
                <w:color w:val="000000" w:themeColor="text1"/>
                <w:szCs w:val="20"/>
              </w:rPr>
            </w:pPr>
            <w:r w:rsidRPr="005D6E49">
              <w:rPr>
                <w:rFonts w:cs="Arial"/>
                <w:color w:val="000000" w:themeColor="text1"/>
                <w:szCs w:val="20"/>
              </w:rPr>
              <w:t xml:space="preserve">Work closely with UK IS&amp;T (specifically the BI team) to continually develop and enrich the data sourced to the data warehouse </w:t>
            </w:r>
          </w:p>
          <w:p w14:paraId="01D2AAAD" w14:textId="77777777" w:rsidR="005D6E49" w:rsidRDefault="005D6E49" w:rsidP="005D6E49">
            <w:pPr>
              <w:pStyle w:val="ListParagraph"/>
              <w:numPr>
                <w:ilvl w:val="0"/>
                <w:numId w:val="22"/>
              </w:numPr>
              <w:jc w:val="left"/>
              <w:rPr>
                <w:rFonts w:cs="Arial"/>
                <w:color w:val="000000" w:themeColor="text1"/>
                <w:szCs w:val="20"/>
              </w:rPr>
            </w:pPr>
            <w:r w:rsidRPr="005D6E49">
              <w:rPr>
                <w:rFonts w:cs="Arial"/>
                <w:color w:val="000000" w:themeColor="text1"/>
                <w:szCs w:val="20"/>
              </w:rPr>
              <w:t>As the Data &amp; Reporting Analyst, ensure:</w:t>
            </w:r>
          </w:p>
          <w:p w14:paraId="3027B9CD" w14:textId="22938023" w:rsidR="004A29DD" w:rsidRPr="004A29DD" w:rsidRDefault="004A29DD" w:rsidP="004A29DD">
            <w:pPr>
              <w:pStyle w:val="ListParagraph"/>
              <w:numPr>
                <w:ilvl w:val="1"/>
                <w:numId w:val="22"/>
              </w:numPr>
              <w:rPr>
                <w:rFonts w:cs="Arial"/>
                <w:color w:val="000000" w:themeColor="text1"/>
                <w:szCs w:val="20"/>
              </w:rPr>
            </w:pPr>
            <w:r w:rsidRPr="004A29DD">
              <w:rPr>
                <w:rFonts w:cs="Arial"/>
                <w:color w:val="000000" w:themeColor="text1"/>
                <w:szCs w:val="20"/>
              </w:rPr>
              <w:t xml:space="preserve">Implementation of data flows to connect operational systems, data for analytics and business intelligence (BI) systems </w:t>
            </w:r>
          </w:p>
          <w:p w14:paraId="61769EA8" w14:textId="2C32B3C8" w:rsidR="005D6E49" w:rsidRDefault="005D6E49" w:rsidP="004A29DD">
            <w:pPr>
              <w:pStyle w:val="ListParagraph"/>
              <w:numPr>
                <w:ilvl w:val="1"/>
                <w:numId w:val="22"/>
              </w:numPr>
              <w:jc w:val="left"/>
              <w:rPr>
                <w:rFonts w:cs="Arial"/>
                <w:color w:val="000000" w:themeColor="text1"/>
                <w:szCs w:val="20"/>
              </w:rPr>
            </w:pPr>
            <w:r w:rsidRPr="004A29DD">
              <w:rPr>
                <w:rFonts w:cs="Arial"/>
                <w:color w:val="000000" w:themeColor="text1"/>
                <w:szCs w:val="20"/>
              </w:rPr>
              <w:t xml:space="preserve">Documentation of source-to-target mappings </w:t>
            </w:r>
          </w:p>
          <w:p w14:paraId="1EB18E5E" w14:textId="77777777" w:rsidR="005D6E49" w:rsidRDefault="005D6E49" w:rsidP="004A29DD">
            <w:pPr>
              <w:pStyle w:val="ListParagraph"/>
              <w:numPr>
                <w:ilvl w:val="1"/>
                <w:numId w:val="22"/>
              </w:numPr>
              <w:jc w:val="left"/>
              <w:rPr>
                <w:rFonts w:cs="Arial"/>
                <w:color w:val="000000" w:themeColor="text1"/>
                <w:szCs w:val="20"/>
              </w:rPr>
            </w:pPr>
            <w:r w:rsidRPr="004A29DD">
              <w:rPr>
                <w:rFonts w:cs="Arial"/>
                <w:color w:val="000000" w:themeColor="text1"/>
                <w:szCs w:val="20"/>
              </w:rPr>
              <w:t xml:space="preserve">Re-engineer manual data flows to enable scaling and repeatable use </w:t>
            </w:r>
          </w:p>
          <w:p w14:paraId="1CAF5EE1" w14:textId="77777777" w:rsidR="005D6E49" w:rsidRDefault="005D6E49" w:rsidP="004A29DD">
            <w:pPr>
              <w:pStyle w:val="ListParagraph"/>
              <w:numPr>
                <w:ilvl w:val="1"/>
                <w:numId w:val="22"/>
              </w:numPr>
              <w:jc w:val="left"/>
              <w:rPr>
                <w:rFonts w:cs="Arial"/>
                <w:color w:val="000000" w:themeColor="text1"/>
                <w:szCs w:val="20"/>
              </w:rPr>
            </w:pPr>
            <w:r w:rsidRPr="004A29DD">
              <w:rPr>
                <w:rFonts w:cs="Arial"/>
                <w:color w:val="000000" w:themeColor="text1"/>
                <w:szCs w:val="20"/>
              </w:rPr>
              <w:t xml:space="preserve">Support the build of data streaming systems  </w:t>
            </w:r>
          </w:p>
          <w:p w14:paraId="0ED79018" w14:textId="77777777" w:rsidR="005D6E49" w:rsidRDefault="005D6E49" w:rsidP="004A29DD">
            <w:pPr>
              <w:pStyle w:val="ListParagraph"/>
              <w:numPr>
                <w:ilvl w:val="1"/>
                <w:numId w:val="22"/>
              </w:numPr>
              <w:jc w:val="left"/>
              <w:rPr>
                <w:rFonts w:cs="Arial"/>
                <w:color w:val="000000" w:themeColor="text1"/>
                <w:szCs w:val="20"/>
              </w:rPr>
            </w:pPr>
            <w:r w:rsidRPr="004A29DD">
              <w:rPr>
                <w:rFonts w:cs="Arial"/>
                <w:color w:val="000000" w:themeColor="text1"/>
                <w:szCs w:val="20"/>
              </w:rPr>
              <w:t xml:space="preserve">Where appropriate assist with the writing of ETL scripts and code to make sure the ETL process performs optimally </w:t>
            </w:r>
          </w:p>
          <w:p w14:paraId="7EBF9E97" w14:textId="77777777" w:rsidR="005D6E49" w:rsidRDefault="005D6E49" w:rsidP="00F94151">
            <w:pPr>
              <w:pStyle w:val="ListParagraph"/>
              <w:numPr>
                <w:ilvl w:val="1"/>
                <w:numId w:val="22"/>
              </w:numPr>
              <w:jc w:val="left"/>
              <w:rPr>
                <w:rFonts w:cs="Arial"/>
                <w:color w:val="000000" w:themeColor="text1"/>
                <w:szCs w:val="20"/>
              </w:rPr>
            </w:pPr>
            <w:r w:rsidRPr="00F94151">
              <w:rPr>
                <w:rFonts w:cs="Arial"/>
                <w:color w:val="000000" w:themeColor="text1"/>
                <w:szCs w:val="20"/>
              </w:rPr>
              <w:t xml:space="preserve">Develop business intelligence reports that can be re-used </w:t>
            </w:r>
          </w:p>
          <w:p w14:paraId="1833F7B3" w14:textId="77777777" w:rsidR="005D6E49" w:rsidRPr="00F94151" w:rsidRDefault="005D6E49" w:rsidP="00F94151">
            <w:pPr>
              <w:pStyle w:val="ListParagraph"/>
              <w:numPr>
                <w:ilvl w:val="1"/>
                <w:numId w:val="22"/>
              </w:numPr>
              <w:jc w:val="left"/>
              <w:rPr>
                <w:rFonts w:cs="Arial"/>
                <w:color w:val="000000" w:themeColor="text1"/>
                <w:szCs w:val="20"/>
              </w:rPr>
            </w:pPr>
            <w:r w:rsidRPr="00F94151">
              <w:rPr>
                <w:rFonts w:cs="Arial"/>
                <w:color w:val="000000" w:themeColor="text1"/>
                <w:szCs w:val="20"/>
              </w:rPr>
              <w:t xml:space="preserve">Build accessible data for analysis </w:t>
            </w:r>
          </w:p>
          <w:p w14:paraId="1CB256C9" w14:textId="77777777" w:rsidR="005D6E49" w:rsidRPr="005D6E49" w:rsidRDefault="005D6E49" w:rsidP="005D6E49">
            <w:pPr>
              <w:pStyle w:val="ListParagraph"/>
              <w:numPr>
                <w:ilvl w:val="0"/>
                <w:numId w:val="22"/>
              </w:numPr>
              <w:jc w:val="left"/>
              <w:rPr>
                <w:rFonts w:cs="Arial"/>
                <w:color w:val="000000" w:themeColor="text1"/>
                <w:szCs w:val="20"/>
              </w:rPr>
            </w:pPr>
            <w:r w:rsidRPr="005D6E49">
              <w:rPr>
                <w:rFonts w:cs="Arial"/>
                <w:color w:val="000000" w:themeColor="text1"/>
                <w:szCs w:val="20"/>
              </w:rPr>
              <w:t xml:space="preserve">Develop the Data Insight &amp; Analysis capability of the Data and Reporting team through: </w:t>
            </w:r>
          </w:p>
          <w:p w14:paraId="73B1FD1D" w14:textId="77777777" w:rsidR="000546D1" w:rsidRDefault="005D6E49" w:rsidP="000546D1">
            <w:pPr>
              <w:pStyle w:val="ListParagraph"/>
              <w:numPr>
                <w:ilvl w:val="0"/>
                <w:numId w:val="35"/>
              </w:numPr>
              <w:jc w:val="left"/>
              <w:rPr>
                <w:rFonts w:cs="Arial"/>
                <w:color w:val="000000" w:themeColor="text1"/>
                <w:szCs w:val="20"/>
              </w:rPr>
            </w:pPr>
            <w:r w:rsidRPr="00F94151">
              <w:rPr>
                <w:rFonts w:cs="Arial"/>
                <w:color w:val="000000" w:themeColor="text1"/>
                <w:szCs w:val="20"/>
              </w:rPr>
              <w:t xml:space="preserve">Data Visualisation: Drive the development of best practice in reporting and visualisation with different types of quantitative and qualitative data, include spatial data to ensure the key trends and insight of the data are well communicated and drive decision making in </w:t>
            </w:r>
          </w:p>
          <w:p w14:paraId="63F5225A" w14:textId="77777777" w:rsidR="000546D1" w:rsidRDefault="005D6E49" w:rsidP="000546D1">
            <w:pPr>
              <w:pStyle w:val="ListParagraph"/>
              <w:numPr>
                <w:ilvl w:val="0"/>
                <w:numId w:val="35"/>
              </w:numPr>
              <w:jc w:val="left"/>
              <w:rPr>
                <w:rFonts w:cs="Arial"/>
                <w:color w:val="000000" w:themeColor="text1"/>
                <w:szCs w:val="20"/>
              </w:rPr>
            </w:pPr>
            <w:r w:rsidRPr="000546D1">
              <w:rPr>
                <w:rFonts w:cs="Arial"/>
                <w:color w:val="000000" w:themeColor="text1"/>
                <w:szCs w:val="20"/>
              </w:rPr>
              <w:t xml:space="preserve">Performance Analysis: Analyse business processes and operations through data to understand performance issues. Then give recommendations for solutions that will drive improvement. </w:t>
            </w:r>
          </w:p>
          <w:p w14:paraId="03DB19A2" w14:textId="77777777" w:rsidR="000546D1" w:rsidRDefault="005D6E49" w:rsidP="000546D1">
            <w:pPr>
              <w:pStyle w:val="ListParagraph"/>
              <w:numPr>
                <w:ilvl w:val="0"/>
                <w:numId w:val="35"/>
              </w:numPr>
              <w:jc w:val="left"/>
              <w:rPr>
                <w:rFonts w:cs="Arial"/>
                <w:color w:val="000000" w:themeColor="text1"/>
                <w:szCs w:val="20"/>
              </w:rPr>
            </w:pPr>
            <w:r w:rsidRPr="000546D1">
              <w:rPr>
                <w:rFonts w:cs="Arial"/>
                <w:color w:val="000000" w:themeColor="text1"/>
                <w:szCs w:val="20"/>
              </w:rPr>
              <w:t xml:space="preserve">Drive Analytic Agenda: The development of dashboards &amp; reports in Power BI and with other Analysts utilising data tools such as analysis in R Studio, Narrative in R Markdown or similar to improve statistical capability through the utilisation of Machine Learning and automation tools </w:t>
            </w:r>
          </w:p>
          <w:p w14:paraId="2945A850" w14:textId="7B6F9CB1" w:rsidR="005D6E49" w:rsidRPr="000546D1" w:rsidRDefault="005D6E49" w:rsidP="000546D1">
            <w:pPr>
              <w:pStyle w:val="ListParagraph"/>
              <w:numPr>
                <w:ilvl w:val="0"/>
                <w:numId w:val="35"/>
              </w:numPr>
              <w:jc w:val="left"/>
              <w:rPr>
                <w:rFonts w:cs="Arial"/>
                <w:color w:val="000000" w:themeColor="text1"/>
                <w:szCs w:val="20"/>
              </w:rPr>
            </w:pPr>
            <w:r w:rsidRPr="000546D1">
              <w:rPr>
                <w:rFonts w:cs="Arial"/>
                <w:color w:val="000000" w:themeColor="text1"/>
                <w:szCs w:val="20"/>
              </w:rPr>
              <w:t xml:space="preserve">Compatibility across multiple platforms &amp; sources: develop data solutions using agile methodology and modern tools and platforms. This can include SQL, Power BI, R Studio, GitHub, Azure data services </w:t>
            </w:r>
          </w:p>
          <w:p w14:paraId="7056CB0B" w14:textId="77777777" w:rsidR="005D6E49" w:rsidRPr="005D6E49" w:rsidRDefault="005D6E49" w:rsidP="005D6E49">
            <w:pPr>
              <w:pStyle w:val="ListParagraph"/>
              <w:numPr>
                <w:ilvl w:val="0"/>
                <w:numId w:val="22"/>
              </w:numPr>
              <w:jc w:val="left"/>
              <w:rPr>
                <w:rFonts w:cs="Arial"/>
                <w:color w:val="000000" w:themeColor="text1"/>
                <w:szCs w:val="20"/>
              </w:rPr>
            </w:pPr>
            <w:r w:rsidRPr="005D6E49">
              <w:rPr>
                <w:rFonts w:cs="Arial"/>
                <w:color w:val="000000" w:themeColor="text1"/>
                <w:szCs w:val="20"/>
              </w:rPr>
              <w:t xml:space="preserve">Demonstrate and foster a culture of curiosity in the Data and Reporting team that drives good insight and outcomes that can be measured in number, value and quality. </w:t>
            </w:r>
          </w:p>
          <w:p w14:paraId="4CB857DC" w14:textId="77777777" w:rsidR="005D6E49" w:rsidRPr="005D6E49" w:rsidRDefault="005D6E49" w:rsidP="005D6E49">
            <w:pPr>
              <w:pStyle w:val="ListParagraph"/>
              <w:numPr>
                <w:ilvl w:val="0"/>
                <w:numId w:val="22"/>
              </w:numPr>
              <w:jc w:val="left"/>
              <w:rPr>
                <w:rFonts w:cs="Arial"/>
                <w:color w:val="000000" w:themeColor="text1"/>
                <w:szCs w:val="20"/>
              </w:rPr>
            </w:pPr>
            <w:r w:rsidRPr="005D6E49">
              <w:rPr>
                <w:rFonts w:cs="Arial"/>
                <w:color w:val="000000" w:themeColor="text1"/>
                <w:szCs w:val="20"/>
              </w:rPr>
              <w:t xml:space="preserve">Establish good working relationships with IS&amp;T and the wider business, Service Operations and Transversal platforms. </w:t>
            </w:r>
          </w:p>
          <w:p w14:paraId="06F4AD77" w14:textId="570F7E4B" w:rsidR="008260DB" w:rsidRPr="008260DB" w:rsidRDefault="005D6E49" w:rsidP="005D6E49">
            <w:pPr>
              <w:numPr>
                <w:ilvl w:val="0"/>
                <w:numId w:val="22"/>
              </w:numPr>
              <w:jc w:val="left"/>
              <w:rPr>
                <w:rFonts w:cs="Arial"/>
                <w:color w:val="000000" w:themeColor="text1"/>
                <w:szCs w:val="20"/>
              </w:rPr>
            </w:pPr>
            <w:r w:rsidRPr="005D6E49">
              <w:rPr>
                <w:rFonts w:cs="Arial"/>
                <w:color w:val="000000" w:themeColor="text1"/>
                <w:szCs w:val="20"/>
              </w:rPr>
              <w:t>To highlight to the contract management team areas where the service can be enhanced for consideration within stakeholder engagement and the account development plan.</w:t>
            </w:r>
          </w:p>
        </w:tc>
      </w:tr>
      <w:tr w:rsidR="005D6E49" w:rsidRPr="00A824A9" w14:paraId="2AC416CA" w14:textId="77777777" w:rsidTr="005D6E49">
        <w:tc>
          <w:tcPr>
            <w:tcW w:w="10375" w:type="dxa"/>
            <w:tcBorders>
              <w:top w:val="dotted" w:sz="4" w:space="0" w:color="auto"/>
              <w:left w:val="single" w:sz="2" w:space="0" w:color="auto"/>
              <w:bottom w:val="dotted" w:sz="4" w:space="0" w:color="auto"/>
              <w:right w:val="single" w:sz="4" w:space="0" w:color="auto"/>
            </w:tcBorders>
          </w:tcPr>
          <w:p w14:paraId="60DA1E2A" w14:textId="77777777" w:rsidR="005D6E49" w:rsidRDefault="005D6E49" w:rsidP="0060007C">
            <w:pPr>
              <w:pStyle w:val="ListParagraph"/>
              <w:ind w:left="360"/>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0EC015EC" w14:textId="77777777" w:rsidR="006156AF" w:rsidRDefault="006156AF" w:rsidP="006156AF">
            <w:pPr>
              <w:pStyle w:val="ListParagraph"/>
              <w:numPr>
                <w:ilvl w:val="0"/>
                <w:numId w:val="22"/>
              </w:numPr>
              <w:jc w:val="left"/>
              <w:rPr>
                <w:rFonts w:cs="Arial"/>
                <w:color w:val="000000" w:themeColor="text1"/>
                <w:szCs w:val="20"/>
              </w:rPr>
            </w:pPr>
            <w:r w:rsidRPr="006156AF">
              <w:rPr>
                <w:rFonts w:cs="Arial"/>
                <w:color w:val="000000" w:themeColor="text1"/>
                <w:szCs w:val="20"/>
              </w:rPr>
              <w:t xml:space="preserve">To support the delivery of analysis and reporting through the Common Data Environment, including TRIRIGA and other data sources, the main areas of focus and challenge for the role will be: </w:t>
            </w:r>
          </w:p>
          <w:p w14:paraId="294DF073" w14:textId="77777777" w:rsidR="006156AF" w:rsidRDefault="006156AF" w:rsidP="006156AF">
            <w:pPr>
              <w:pStyle w:val="ListParagraph"/>
              <w:numPr>
                <w:ilvl w:val="1"/>
                <w:numId w:val="22"/>
              </w:numPr>
              <w:jc w:val="left"/>
              <w:rPr>
                <w:rFonts w:cs="Arial"/>
                <w:color w:val="000000" w:themeColor="text1"/>
                <w:szCs w:val="20"/>
              </w:rPr>
            </w:pPr>
            <w:r w:rsidRPr="006156AF">
              <w:rPr>
                <w:rFonts w:cs="Arial"/>
                <w:color w:val="000000" w:themeColor="text1"/>
                <w:szCs w:val="20"/>
              </w:rPr>
              <w:t xml:space="preserve">Supporting the transition of data feeds to a Data Warehouse environment, ensuring that data and processes appropriately feeds the analytical platform. Working with the Service Leads, draw out complex requirements from key stakeholders with a view to delivering simple yet concise outputs that satisfy those requirements </w:t>
            </w:r>
          </w:p>
          <w:p w14:paraId="360F90E4" w14:textId="77777777" w:rsidR="006156AF" w:rsidRDefault="006156AF" w:rsidP="006156AF">
            <w:pPr>
              <w:pStyle w:val="ListParagraph"/>
              <w:numPr>
                <w:ilvl w:val="1"/>
                <w:numId w:val="22"/>
              </w:numPr>
              <w:jc w:val="left"/>
              <w:rPr>
                <w:rFonts w:cs="Arial"/>
                <w:color w:val="000000" w:themeColor="text1"/>
                <w:szCs w:val="20"/>
              </w:rPr>
            </w:pPr>
            <w:r w:rsidRPr="006156AF">
              <w:rPr>
                <w:rFonts w:cs="Arial"/>
                <w:color w:val="000000" w:themeColor="text1"/>
                <w:szCs w:val="20"/>
              </w:rPr>
              <w:t xml:space="preserve">Deliver contractual, routine and ad-hoc reports from a variety of data sources using the appropriate solutions and where appropriate providing commentary, insight and recommendations. </w:t>
            </w:r>
          </w:p>
          <w:p w14:paraId="170042F5" w14:textId="77777777" w:rsidR="006156AF" w:rsidRDefault="006156AF" w:rsidP="006156AF">
            <w:pPr>
              <w:pStyle w:val="ListParagraph"/>
              <w:numPr>
                <w:ilvl w:val="1"/>
                <w:numId w:val="22"/>
              </w:numPr>
              <w:jc w:val="left"/>
              <w:rPr>
                <w:rFonts w:cs="Arial"/>
                <w:color w:val="000000" w:themeColor="text1"/>
                <w:szCs w:val="20"/>
              </w:rPr>
            </w:pPr>
            <w:r w:rsidRPr="006156AF">
              <w:rPr>
                <w:rFonts w:cs="Arial"/>
                <w:color w:val="000000" w:themeColor="text1"/>
                <w:szCs w:val="20"/>
              </w:rPr>
              <w:t xml:space="preserve">Through the use of Data Intelligence drive insight into specific business questions/issues that may arise as well as proactive insight into future opportunities </w:t>
            </w:r>
          </w:p>
          <w:p w14:paraId="724B2951" w14:textId="635034A3" w:rsidR="006156AF" w:rsidRPr="006156AF" w:rsidRDefault="006156AF" w:rsidP="006156AF">
            <w:pPr>
              <w:pStyle w:val="ListParagraph"/>
              <w:numPr>
                <w:ilvl w:val="1"/>
                <w:numId w:val="22"/>
              </w:numPr>
              <w:jc w:val="left"/>
              <w:rPr>
                <w:rFonts w:cs="Arial"/>
                <w:color w:val="000000" w:themeColor="text1"/>
                <w:szCs w:val="20"/>
              </w:rPr>
            </w:pPr>
            <w:r w:rsidRPr="006156AF">
              <w:rPr>
                <w:rFonts w:cs="Arial"/>
                <w:color w:val="000000" w:themeColor="text1"/>
                <w:szCs w:val="20"/>
              </w:rPr>
              <w:t>Develop analysis skills and tools demonstrating that Sodexo and the individual are using best practice techniques and reporting methodologies</w:t>
            </w:r>
          </w:p>
          <w:p w14:paraId="487D09E7" w14:textId="77777777" w:rsidR="006156AF" w:rsidRPr="006156AF" w:rsidRDefault="006156AF" w:rsidP="006156AF">
            <w:pPr>
              <w:pStyle w:val="ListParagraph"/>
              <w:numPr>
                <w:ilvl w:val="0"/>
                <w:numId w:val="22"/>
              </w:numPr>
              <w:jc w:val="left"/>
              <w:rPr>
                <w:rFonts w:cs="Arial"/>
                <w:color w:val="000000" w:themeColor="text1"/>
                <w:szCs w:val="20"/>
              </w:rPr>
            </w:pPr>
            <w:r w:rsidRPr="006156AF">
              <w:rPr>
                <w:rFonts w:cs="Arial"/>
                <w:color w:val="000000" w:themeColor="text1"/>
                <w:szCs w:val="20"/>
              </w:rPr>
              <w:t xml:space="preserve">Support the Head of Strategic Property Services in the regular Quality Assurance of all data inputs and reporting outputs ensuring full audit trail and visibility of any remedial actions. </w:t>
            </w:r>
          </w:p>
          <w:p w14:paraId="7FF1B7F5" w14:textId="77777777" w:rsidR="006156AF" w:rsidRPr="006156AF" w:rsidRDefault="006156AF" w:rsidP="006156AF">
            <w:pPr>
              <w:pStyle w:val="ListParagraph"/>
              <w:numPr>
                <w:ilvl w:val="0"/>
                <w:numId w:val="22"/>
              </w:numPr>
              <w:jc w:val="left"/>
              <w:rPr>
                <w:rFonts w:cs="Arial"/>
                <w:color w:val="000000" w:themeColor="text1"/>
                <w:szCs w:val="20"/>
              </w:rPr>
            </w:pPr>
            <w:r w:rsidRPr="006156AF">
              <w:rPr>
                <w:rFonts w:cs="Arial"/>
                <w:color w:val="000000" w:themeColor="text1"/>
                <w:szCs w:val="20"/>
              </w:rPr>
              <w:t xml:space="preserve">To actively participate in the Systems, Data, Analytics, and Insights Community of Practice (CoP), driving service innovation, supporting the evolution of PPS service offerings, growth opportunities and the development of staff in your community through technical leadership, guidance, support, and mentoring </w:t>
            </w:r>
          </w:p>
          <w:p w14:paraId="772B386C" w14:textId="77777777" w:rsidR="006156AF" w:rsidRPr="006156AF" w:rsidRDefault="006156AF" w:rsidP="006156AF">
            <w:pPr>
              <w:pStyle w:val="ListParagraph"/>
              <w:numPr>
                <w:ilvl w:val="0"/>
                <w:numId w:val="22"/>
              </w:numPr>
              <w:jc w:val="left"/>
              <w:rPr>
                <w:rFonts w:cs="Arial"/>
                <w:color w:val="000000" w:themeColor="text1"/>
                <w:szCs w:val="20"/>
              </w:rPr>
            </w:pPr>
            <w:r w:rsidRPr="006156AF">
              <w:rPr>
                <w:rFonts w:cs="Arial"/>
                <w:color w:val="000000" w:themeColor="text1"/>
                <w:szCs w:val="20"/>
              </w:rPr>
              <w:t xml:space="preserve">Participate in the 6 monthly review cycle of service solutions ensuring service solutions, processes and standard operating procedures are kept up to date. </w:t>
            </w:r>
          </w:p>
          <w:p w14:paraId="50208257" w14:textId="77777777" w:rsidR="006156AF" w:rsidRPr="006156AF" w:rsidRDefault="006156AF" w:rsidP="006156AF">
            <w:pPr>
              <w:pStyle w:val="ListParagraph"/>
              <w:numPr>
                <w:ilvl w:val="0"/>
                <w:numId w:val="22"/>
              </w:numPr>
              <w:jc w:val="left"/>
              <w:rPr>
                <w:rFonts w:cs="Arial"/>
                <w:color w:val="000000" w:themeColor="text1"/>
                <w:szCs w:val="20"/>
              </w:rPr>
            </w:pPr>
            <w:r w:rsidRPr="006156AF">
              <w:rPr>
                <w:rFonts w:cs="Arial"/>
                <w:color w:val="000000" w:themeColor="text1"/>
                <w:szCs w:val="20"/>
              </w:rPr>
              <w:t xml:space="preserve">Ensure that all data and reporting is conducted in line with Authority and legislative, health and safety and environmental considerations. </w:t>
            </w:r>
          </w:p>
          <w:p w14:paraId="0A352E3B" w14:textId="77777777" w:rsidR="006156AF" w:rsidRPr="006156AF" w:rsidRDefault="006156AF" w:rsidP="006156AF">
            <w:pPr>
              <w:pStyle w:val="ListParagraph"/>
              <w:numPr>
                <w:ilvl w:val="0"/>
                <w:numId w:val="22"/>
              </w:numPr>
              <w:jc w:val="left"/>
              <w:rPr>
                <w:rFonts w:cs="Arial"/>
                <w:color w:val="000000" w:themeColor="text1"/>
                <w:szCs w:val="20"/>
              </w:rPr>
            </w:pPr>
            <w:r w:rsidRPr="006156AF">
              <w:rPr>
                <w:rFonts w:cs="Arial"/>
                <w:color w:val="000000" w:themeColor="text1"/>
                <w:szCs w:val="20"/>
              </w:rPr>
              <w:t>Be willing to support other members of the contract team to minimise the impact on service levels and contractual obligations.</w:t>
            </w:r>
          </w:p>
          <w:p w14:paraId="353B531E" w14:textId="77777777" w:rsidR="006156AF" w:rsidRPr="006156AF" w:rsidRDefault="006156AF" w:rsidP="006156AF">
            <w:pPr>
              <w:pStyle w:val="ListParagraph"/>
              <w:numPr>
                <w:ilvl w:val="0"/>
                <w:numId w:val="22"/>
              </w:numPr>
              <w:jc w:val="left"/>
              <w:rPr>
                <w:rFonts w:cs="Arial"/>
                <w:color w:val="000000" w:themeColor="text1"/>
                <w:szCs w:val="20"/>
              </w:rPr>
            </w:pPr>
            <w:r w:rsidRPr="006156AF">
              <w:rPr>
                <w:rFonts w:cs="Arial"/>
                <w:color w:val="000000" w:themeColor="text1"/>
                <w:szCs w:val="20"/>
              </w:rPr>
              <w:t xml:space="preserve">Fully comply with the Information Security requirements of our contracts. </w:t>
            </w:r>
          </w:p>
          <w:p w14:paraId="67355C7B" w14:textId="3FF07CE4" w:rsidR="000B4AA1" w:rsidRPr="008260DB" w:rsidRDefault="006156AF" w:rsidP="006156AF">
            <w:pPr>
              <w:pStyle w:val="ListParagraph"/>
              <w:numPr>
                <w:ilvl w:val="0"/>
                <w:numId w:val="22"/>
              </w:numPr>
              <w:jc w:val="left"/>
              <w:rPr>
                <w:rFonts w:cs="Arial"/>
                <w:color w:val="000000" w:themeColor="text1"/>
                <w:szCs w:val="20"/>
              </w:rPr>
            </w:pPr>
            <w:r w:rsidRPr="006156AF">
              <w:rPr>
                <w:rFonts w:cs="Arial"/>
                <w:color w:val="000000" w:themeColor="text1"/>
                <w:szCs w:val="20"/>
              </w:rPr>
              <w:t xml:space="preserve">To take ownership of delivery of wider obligations outside immediate service area as required. </w:t>
            </w:r>
          </w:p>
        </w:tc>
      </w:tr>
      <w:tr w:rsidR="006156AF" w:rsidRPr="00A824A9" w14:paraId="5796F47B" w14:textId="77777777" w:rsidTr="00A86A37">
        <w:tc>
          <w:tcPr>
            <w:tcW w:w="10375" w:type="dxa"/>
          </w:tcPr>
          <w:p w14:paraId="2B6B89EC" w14:textId="77777777" w:rsidR="006156AF" w:rsidRDefault="006156AF" w:rsidP="00EF0A4B">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5B585A9C" w14:textId="77777777" w:rsidR="00A23714" w:rsidRPr="00A23714" w:rsidRDefault="00A23714" w:rsidP="00A23714">
            <w:pPr>
              <w:pStyle w:val="ListParagraph"/>
              <w:numPr>
                <w:ilvl w:val="0"/>
                <w:numId w:val="24"/>
              </w:numPr>
              <w:jc w:val="left"/>
              <w:rPr>
                <w:rFonts w:cs="Arial"/>
                <w:szCs w:val="20"/>
              </w:rPr>
            </w:pPr>
            <w:r w:rsidRPr="00A23714">
              <w:rPr>
                <w:rFonts w:cs="Arial"/>
                <w:szCs w:val="20"/>
              </w:rPr>
              <w:t>Work with Service Leads to deliver reporting and management information to contractual timescales or as agreed for ad-hoc work</w:t>
            </w:r>
          </w:p>
          <w:p w14:paraId="6798F4E7" w14:textId="77777777" w:rsidR="00A23714" w:rsidRPr="00A23714" w:rsidRDefault="00A23714" w:rsidP="00A23714">
            <w:pPr>
              <w:pStyle w:val="ListParagraph"/>
              <w:numPr>
                <w:ilvl w:val="0"/>
                <w:numId w:val="24"/>
              </w:numPr>
              <w:jc w:val="left"/>
              <w:rPr>
                <w:rFonts w:cs="Arial"/>
                <w:szCs w:val="20"/>
              </w:rPr>
            </w:pPr>
            <w:r w:rsidRPr="00A23714">
              <w:rPr>
                <w:rFonts w:cs="Arial"/>
                <w:szCs w:val="20"/>
              </w:rPr>
              <w:t>Operation and management of the contracts Common Data Environment, BI and BA solution in meeting client and business objectives</w:t>
            </w:r>
          </w:p>
          <w:p w14:paraId="0406A362" w14:textId="2963D38B" w:rsidR="00D87CC8" w:rsidRPr="00912B7B" w:rsidRDefault="00A23714" w:rsidP="00A23714">
            <w:pPr>
              <w:pStyle w:val="ListParagraph"/>
              <w:numPr>
                <w:ilvl w:val="0"/>
                <w:numId w:val="24"/>
              </w:numPr>
              <w:jc w:val="left"/>
              <w:rPr>
                <w:rFonts w:cs="Arial"/>
                <w:b/>
                <w:color w:val="000000" w:themeColor="text1"/>
                <w:szCs w:val="20"/>
              </w:rPr>
            </w:pPr>
            <w:r w:rsidRPr="00A23714">
              <w:rPr>
                <w:rFonts w:cs="Arial"/>
                <w:szCs w:val="20"/>
              </w:rPr>
              <w:t>Support the Strategic Property Support service lead in the provision of consultancy advice, to be defined and agreed with clients</w:t>
            </w:r>
          </w:p>
          <w:p w14:paraId="0376654B" w14:textId="77777777" w:rsidR="00D87CC8" w:rsidRPr="008260DB" w:rsidRDefault="00D87CC8" w:rsidP="00A23714">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50EF2492" w14:textId="77777777" w:rsidR="00DC2AFE" w:rsidRDefault="00DC2AFE" w:rsidP="00DC2AFE">
            <w:pPr>
              <w:pStyle w:val="ListParagraph"/>
              <w:ind w:left="360"/>
              <w:jc w:val="left"/>
              <w:rPr>
                <w:rFonts w:cs="Arial"/>
                <w:color w:val="000000" w:themeColor="text1"/>
                <w:szCs w:val="20"/>
              </w:rPr>
            </w:pPr>
          </w:p>
          <w:p w14:paraId="4D917916" w14:textId="058EC383" w:rsidR="00760F48" w:rsidRPr="00760F48" w:rsidRDefault="00760F48" w:rsidP="00760F48">
            <w:pPr>
              <w:pStyle w:val="ListParagraph"/>
              <w:numPr>
                <w:ilvl w:val="0"/>
                <w:numId w:val="22"/>
              </w:numPr>
              <w:jc w:val="left"/>
              <w:rPr>
                <w:rFonts w:cs="Arial"/>
                <w:color w:val="000000" w:themeColor="text1"/>
                <w:szCs w:val="20"/>
              </w:rPr>
            </w:pPr>
            <w:r w:rsidRPr="00760F48">
              <w:rPr>
                <w:rFonts w:cs="Arial"/>
                <w:color w:val="000000" w:themeColor="text1"/>
                <w:szCs w:val="20"/>
              </w:rPr>
              <w:t>A property portfolio of c.200 sites across the Greater London area with overall property services annual revenue budget of c.£190 million and annual capital budget of c.£100 million.</w:t>
            </w:r>
          </w:p>
          <w:p w14:paraId="0EA1C6A5" w14:textId="60DF0E51" w:rsidR="0095128F" w:rsidRPr="00D87CC8" w:rsidRDefault="00760F48" w:rsidP="00760F48">
            <w:pPr>
              <w:pStyle w:val="ListParagraph"/>
              <w:numPr>
                <w:ilvl w:val="0"/>
                <w:numId w:val="22"/>
              </w:numPr>
              <w:jc w:val="left"/>
              <w:rPr>
                <w:rFonts w:cs="Arial"/>
                <w:color w:val="000000" w:themeColor="text1"/>
                <w:szCs w:val="20"/>
              </w:rPr>
            </w:pPr>
            <w:r w:rsidRPr="00760F48">
              <w:rPr>
                <w:rFonts w:cs="Arial"/>
                <w:color w:val="000000" w:themeColor="text1"/>
                <w:szCs w:val="20"/>
              </w:rPr>
              <w:t>c.50 reports to be produced each month</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tc>
          <w:tcPr>
            <w:tcW w:w="10375" w:type="dxa"/>
            <w:tcBorders>
              <w:top w:val="dotted" w:sz="4" w:space="0" w:color="auto"/>
            </w:tcBorders>
          </w:tcPr>
          <w:p w14:paraId="3C2713E7" w14:textId="77777777" w:rsidR="00AD72CB" w:rsidRPr="00AD72CB" w:rsidRDefault="00AD72CB" w:rsidP="00375C89">
            <w:pPr>
              <w:pStyle w:val="ListParagraph"/>
              <w:numPr>
                <w:ilvl w:val="0"/>
                <w:numId w:val="24"/>
              </w:numPr>
              <w:jc w:val="left"/>
              <w:rPr>
                <w:rFonts w:cs="Arial"/>
                <w:szCs w:val="20"/>
              </w:rPr>
            </w:pPr>
            <w:r w:rsidRPr="00AD72CB">
              <w:rPr>
                <w:rFonts w:cs="Arial"/>
                <w:szCs w:val="20"/>
              </w:rPr>
              <w:t xml:space="preserve">Essential </w:t>
            </w:r>
          </w:p>
          <w:p w14:paraId="423365F3" w14:textId="77777777" w:rsidR="00AD72CB" w:rsidRPr="00AD72CB" w:rsidRDefault="00AD72CB" w:rsidP="00375C89">
            <w:pPr>
              <w:pStyle w:val="ListParagraph"/>
              <w:numPr>
                <w:ilvl w:val="0"/>
                <w:numId w:val="24"/>
              </w:numPr>
              <w:jc w:val="left"/>
              <w:rPr>
                <w:rFonts w:cs="Arial"/>
                <w:szCs w:val="20"/>
              </w:rPr>
            </w:pPr>
            <w:r w:rsidRPr="00AD72CB">
              <w:rPr>
                <w:rFonts w:cs="Arial"/>
                <w:szCs w:val="20"/>
              </w:rPr>
              <w:t xml:space="preserve">Data analysis skills: </w:t>
            </w:r>
          </w:p>
          <w:p w14:paraId="5E9735EF" w14:textId="77777777" w:rsidR="006C33DE" w:rsidRDefault="00AD72CB" w:rsidP="00375C89">
            <w:pPr>
              <w:pStyle w:val="ListParagraph"/>
              <w:numPr>
                <w:ilvl w:val="1"/>
                <w:numId w:val="24"/>
              </w:numPr>
              <w:jc w:val="left"/>
              <w:rPr>
                <w:rFonts w:cs="Arial"/>
                <w:szCs w:val="20"/>
              </w:rPr>
            </w:pPr>
            <w:r w:rsidRPr="00AD72CB">
              <w:rPr>
                <w:rFonts w:cs="Arial"/>
                <w:szCs w:val="20"/>
              </w:rPr>
              <w:t xml:space="preserve">Data preparation, exploration and visualisation; </w:t>
            </w:r>
          </w:p>
          <w:p w14:paraId="7AA62262" w14:textId="77777777" w:rsidR="006C33DE" w:rsidRDefault="00AD72CB" w:rsidP="00375C89">
            <w:pPr>
              <w:pStyle w:val="ListParagraph"/>
              <w:numPr>
                <w:ilvl w:val="1"/>
                <w:numId w:val="24"/>
              </w:numPr>
              <w:jc w:val="left"/>
              <w:rPr>
                <w:rFonts w:cs="Arial"/>
                <w:szCs w:val="20"/>
              </w:rPr>
            </w:pPr>
            <w:r w:rsidRPr="006C33DE">
              <w:rPr>
                <w:rFonts w:cs="Arial"/>
                <w:szCs w:val="20"/>
              </w:rPr>
              <w:t xml:space="preserve">Data interrogation and analysis; </w:t>
            </w:r>
          </w:p>
          <w:p w14:paraId="5C612061" w14:textId="77777777" w:rsidR="006C33DE" w:rsidRDefault="00AD72CB" w:rsidP="00375C89">
            <w:pPr>
              <w:pStyle w:val="ListParagraph"/>
              <w:numPr>
                <w:ilvl w:val="1"/>
                <w:numId w:val="24"/>
              </w:numPr>
              <w:jc w:val="left"/>
              <w:rPr>
                <w:rFonts w:cs="Arial"/>
                <w:szCs w:val="20"/>
              </w:rPr>
            </w:pPr>
            <w:r w:rsidRPr="006C33DE">
              <w:rPr>
                <w:rFonts w:cs="Arial"/>
                <w:szCs w:val="20"/>
              </w:rPr>
              <w:t xml:space="preserve">Application of statistical and/or data-modelling methodologies; </w:t>
            </w:r>
          </w:p>
          <w:p w14:paraId="3CF57C81" w14:textId="6CF70AAA" w:rsidR="00AD72CB" w:rsidRPr="006C33DE" w:rsidRDefault="00AD72CB" w:rsidP="00375C89">
            <w:pPr>
              <w:pStyle w:val="ListParagraph"/>
              <w:numPr>
                <w:ilvl w:val="1"/>
                <w:numId w:val="24"/>
              </w:numPr>
              <w:jc w:val="left"/>
              <w:rPr>
                <w:rFonts w:cs="Arial"/>
                <w:szCs w:val="20"/>
              </w:rPr>
            </w:pPr>
            <w:r w:rsidRPr="006C33DE">
              <w:rPr>
                <w:rFonts w:cs="Arial"/>
                <w:szCs w:val="20"/>
              </w:rPr>
              <w:lastRenderedPageBreak/>
              <w:t xml:space="preserve">Presentation of results using good visualisations. </w:t>
            </w:r>
          </w:p>
          <w:p w14:paraId="30B63DA0" w14:textId="77777777" w:rsidR="00AD72CB" w:rsidRPr="00AD72CB" w:rsidRDefault="00AD72CB" w:rsidP="00375C89">
            <w:pPr>
              <w:pStyle w:val="ListParagraph"/>
              <w:numPr>
                <w:ilvl w:val="0"/>
                <w:numId w:val="24"/>
              </w:numPr>
              <w:jc w:val="left"/>
              <w:rPr>
                <w:rFonts w:cs="Arial"/>
                <w:szCs w:val="20"/>
              </w:rPr>
            </w:pPr>
            <w:r w:rsidRPr="00AD72CB">
              <w:rPr>
                <w:rFonts w:cs="Arial"/>
                <w:szCs w:val="20"/>
              </w:rPr>
              <w:t xml:space="preserve">Data Tooling: Excel; modern tools for analysis and visualization, particularly: Power BI, TRIRGA Reporting (desirable), SQL and R Studio (desirable); and modern communication channels (communities, networks, webinars, etc.) to solve day-to-day technical issues. </w:t>
            </w:r>
          </w:p>
          <w:p w14:paraId="5A66F804" w14:textId="77777777" w:rsidR="00AD72CB" w:rsidRDefault="00AD72CB" w:rsidP="00375C89">
            <w:pPr>
              <w:pStyle w:val="ListParagraph"/>
              <w:numPr>
                <w:ilvl w:val="0"/>
                <w:numId w:val="24"/>
              </w:numPr>
              <w:jc w:val="left"/>
              <w:rPr>
                <w:rFonts w:cs="Arial"/>
                <w:szCs w:val="20"/>
              </w:rPr>
            </w:pPr>
            <w:r w:rsidRPr="00AD72CB">
              <w:rPr>
                <w:rFonts w:cs="Arial"/>
                <w:szCs w:val="20"/>
              </w:rPr>
              <w:t xml:space="preserve">Interpersonal skills: Good interpersonal skills and ability to build and maintain strong working relationships with business partners and stakeholders. </w:t>
            </w:r>
          </w:p>
          <w:p w14:paraId="38DB7779" w14:textId="77777777" w:rsidR="00375C89" w:rsidRDefault="00375C89" w:rsidP="00375C89">
            <w:pPr>
              <w:pStyle w:val="Puces4"/>
              <w:numPr>
                <w:ilvl w:val="0"/>
                <w:numId w:val="24"/>
              </w:numPr>
            </w:pPr>
            <w:r>
              <w:t xml:space="preserve">Problem solving: A problem-solving approach with curiosity and proactivity to engage and understand both the strategic business goals and our customer’s needs. Awareness of the types of problems in databases, data processes, data products and services </w:t>
            </w:r>
          </w:p>
          <w:p w14:paraId="568322F0" w14:textId="77777777" w:rsidR="00375C89" w:rsidRDefault="00375C89" w:rsidP="00375C89">
            <w:pPr>
              <w:pStyle w:val="Puces4"/>
              <w:numPr>
                <w:ilvl w:val="0"/>
                <w:numId w:val="24"/>
              </w:numPr>
            </w:pPr>
            <w:r>
              <w:t>Data Communication and Influencing: Excellent communication and influencing skills, with the ability to take complex ideas, concepts and data sets and communicate their key messages clearly in writing and verbally to a variety of audiences.</w:t>
            </w:r>
          </w:p>
          <w:p w14:paraId="7FE0440D" w14:textId="77777777" w:rsidR="00375C89" w:rsidRDefault="00375C89" w:rsidP="00375C89">
            <w:pPr>
              <w:pStyle w:val="Puces4"/>
              <w:numPr>
                <w:ilvl w:val="0"/>
                <w:numId w:val="24"/>
              </w:numPr>
            </w:pPr>
            <w:r>
              <w:t xml:space="preserve">Data development process: Can design, build and test data products based on feeds from multiple systems using a range of different storage technologies and/or access methods. Creating repeatable and reusable products. </w:t>
            </w:r>
          </w:p>
          <w:p w14:paraId="599F9205" w14:textId="77777777" w:rsidR="00375C89" w:rsidRDefault="00375C89" w:rsidP="00375C89">
            <w:pPr>
              <w:pStyle w:val="Puces4"/>
              <w:numPr>
                <w:ilvl w:val="0"/>
                <w:numId w:val="24"/>
              </w:numPr>
            </w:pPr>
            <w:r>
              <w:t xml:space="preserve">Data integration design: Can deliver data solutions in accordance with agreed Sodexo standards that ensures services are resilient, scalable and future proof where possible. </w:t>
            </w:r>
          </w:p>
          <w:p w14:paraId="59B1A7DA" w14:textId="77777777" w:rsidR="00375C89" w:rsidRDefault="00375C89" w:rsidP="00375C89">
            <w:pPr>
              <w:pStyle w:val="Puces4"/>
              <w:numPr>
                <w:ilvl w:val="0"/>
                <w:numId w:val="24"/>
              </w:numPr>
            </w:pPr>
            <w:r>
              <w:t xml:space="preserve">Data modelling: Understands the concepts and principles of data modelling and can produce, maintain and update relevant data models for specific business needs. Can reverse-engineer data models from a live system. </w:t>
            </w:r>
          </w:p>
          <w:p w14:paraId="0F812E77" w14:textId="77777777" w:rsidR="00375C89" w:rsidRDefault="00375C89" w:rsidP="00375C89">
            <w:pPr>
              <w:pStyle w:val="Puces4"/>
              <w:numPr>
                <w:ilvl w:val="0"/>
                <w:numId w:val="24"/>
              </w:numPr>
            </w:pPr>
            <w:r>
              <w:t xml:space="preserve">Metadata management: Can work with metadata repositories to complete complex tasks such as data and systems integration impact analysis. Can maintain a repository to ensure information remains accurate and up to date. </w:t>
            </w:r>
          </w:p>
          <w:p w14:paraId="69E03DA8" w14:textId="77777777" w:rsidR="00375C89" w:rsidRDefault="00375C89" w:rsidP="00375C89">
            <w:pPr>
              <w:pStyle w:val="Puces4"/>
              <w:numPr>
                <w:ilvl w:val="0"/>
                <w:numId w:val="24"/>
              </w:numPr>
            </w:pPr>
            <w:r>
              <w:t xml:space="preserve">Programming and build: Developing the ability to design, code, test, correct and document simple programs or scripts under the direction of others. </w:t>
            </w:r>
          </w:p>
          <w:p w14:paraId="5AAA393C" w14:textId="77777777" w:rsidR="00375C89" w:rsidRDefault="00375C89" w:rsidP="00375C89">
            <w:pPr>
              <w:pStyle w:val="Puces4"/>
              <w:numPr>
                <w:ilvl w:val="0"/>
                <w:numId w:val="24"/>
              </w:numPr>
            </w:pPr>
            <w:r>
              <w:t xml:space="preserve">Technical understanding: Understands core technical concepts related to the role and can apply them with guidance. </w:t>
            </w:r>
          </w:p>
          <w:p w14:paraId="4F629F84" w14:textId="77777777" w:rsidR="00375C89" w:rsidRDefault="00375C89" w:rsidP="00375C89">
            <w:pPr>
              <w:pStyle w:val="Puces4"/>
              <w:numPr>
                <w:ilvl w:val="0"/>
                <w:numId w:val="24"/>
              </w:numPr>
            </w:pPr>
            <w:r>
              <w:t>Testing: Can execute test scripts and understand the role of testing and how it works.</w:t>
            </w:r>
          </w:p>
          <w:p w14:paraId="158E7A4D" w14:textId="77777777" w:rsidR="00375C89" w:rsidRDefault="00375C89" w:rsidP="00375C89">
            <w:pPr>
              <w:pStyle w:val="Puces4"/>
              <w:numPr>
                <w:ilvl w:val="0"/>
                <w:numId w:val="24"/>
              </w:numPr>
            </w:pPr>
            <w:r>
              <w:t xml:space="preserve">Data Innovation &amp; improvements: Ability to identify areas of improvement and create innovative approaches to delivering better quality services and products with new tools and the use of data.  </w:t>
            </w:r>
          </w:p>
          <w:p w14:paraId="15F68C4E" w14:textId="77777777" w:rsidR="00375C89" w:rsidRDefault="00375C89" w:rsidP="00375C89">
            <w:pPr>
              <w:pStyle w:val="Puces4"/>
              <w:numPr>
                <w:ilvl w:val="0"/>
                <w:numId w:val="24"/>
              </w:numPr>
            </w:pPr>
            <w:r>
              <w:t xml:space="preserve">Proven track record in uncovering insight and intelligence through leading indicators and predictive measures. </w:t>
            </w:r>
          </w:p>
          <w:p w14:paraId="2E7145E2" w14:textId="77777777" w:rsidR="00375C89" w:rsidRDefault="00375C89" w:rsidP="00375C89">
            <w:pPr>
              <w:pStyle w:val="Puces4"/>
              <w:numPr>
                <w:ilvl w:val="0"/>
                <w:numId w:val="24"/>
              </w:numPr>
            </w:pPr>
            <w:r>
              <w:t xml:space="preserve">Ability to work both independently and as part of a team, managing own time and priorities as required. </w:t>
            </w:r>
          </w:p>
          <w:p w14:paraId="4A92B5C2" w14:textId="77777777" w:rsidR="00375C89" w:rsidRDefault="00375C89" w:rsidP="00375C89">
            <w:pPr>
              <w:pStyle w:val="Puces4"/>
              <w:numPr>
                <w:ilvl w:val="0"/>
                <w:numId w:val="24"/>
              </w:numPr>
            </w:pPr>
            <w:r>
              <w:t xml:space="preserve">Ability and tenacity to operate and deliver within a changing business and market environment – demonstrate resilience at times of high pressure </w:t>
            </w:r>
          </w:p>
          <w:p w14:paraId="7953B854" w14:textId="77777777" w:rsidR="00375C89" w:rsidRDefault="00375C89" w:rsidP="00375C89">
            <w:pPr>
              <w:pStyle w:val="Puces4"/>
              <w:numPr>
                <w:ilvl w:val="0"/>
                <w:numId w:val="24"/>
              </w:numPr>
            </w:pPr>
            <w:r>
              <w:t xml:space="preserve">Strong Customer Focus </w:t>
            </w:r>
          </w:p>
          <w:p w14:paraId="1BD35B17" w14:textId="77777777" w:rsidR="00375C89" w:rsidRDefault="00375C89" w:rsidP="00375C89">
            <w:pPr>
              <w:pStyle w:val="Puces4"/>
              <w:numPr>
                <w:ilvl w:val="0"/>
                <w:numId w:val="24"/>
              </w:numPr>
            </w:pPr>
            <w:r>
              <w:t xml:space="preserve">Experience of building effective working relationships both internally and externally </w:t>
            </w:r>
          </w:p>
          <w:p w14:paraId="165A3C7A" w14:textId="77777777" w:rsidR="00375C89" w:rsidRDefault="00375C89" w:rsidP="00375C89">
            <w:pPr>
              <w:pStyle w:val="Puces4"/>
              <w:numPr>
                <w:ilvl w:val="0"/>
                <w:numId w:val="24"/>
              </w:numPr>
            </w:pPr>
            <w:r>
              <w:t xml:space="preserve">Excellent working knowledge of Microsoft Office </w:t>
            </w:r>
          </w:p>
          <w:p w14:paraId="1ECED3DD" w14:textId="77777777" w:rsidR="00375C89" w:rsidRPr="005325F9" w:rsidRDefault="00375C89" w:rsidP="00375C89">
            <w:pPr>
              <w:pStyle w:val="ListParagraph"/>
              <w:numPr>
                <w:ilvl w:val="0"/>
                <w:numId w:val="24"/>
              </w:numPr>
            </w:pPr>
            <w:r w:rsidRPr="00A21F0E">
              <w:rPr>
                <w:rFonts w:eastAsia="MS Mincho" w:cs="Arial"/>
                <w:bCs/>
                <w:color w:val="000000"/>
                <w:szCs w:val="22"/>
                <w:lang w:val="en-GB"/>
              </w:rPr>
              <w:t>Work in such a way that upholds and promotes the client values of professionalism, integrity, courage, and compassion.</w:t>
            </w:r>
          </w:p>
          <w:p w14:paraId="08A4E46A" w14:textId="7FA279F5" w:rsidR="00375C89" w:rsidRPr="00AD72CB" w:rsidRDefault="00375C89" w:rsidP="00375C89">
            <w:pPr>
              <w:pStyle w:val="ListParagraph"/>
              <w:numPr>
                <w:ilvl w:val="0"/>
                <w:numId w:val="24"/>
              </w:numPr>
              <w:jc w:val="left"/>
              <w:rPr>
                <w:rFonts w:cs="Arial"/>
                <w:szCs w:val="20"/>
              </w:rPr>
            </w:pPr>
            <w:r w:rsidRPr="00090EC8">
              <w:rPr>
                <w:rFonts w:eastAsia="MS Mincho" w:cs="Arial"/>
                <w:bCs/>
                <w:color w:val="000000"/>
                <w:szCs w:val="22"/>
                <w:lang w:val="en-GB"/>
              </w:rPr>
              <w:t xml:space="preserve">Applicants need to be eligible to pass security vetting carried out by </w:t>
            </w:r>
            <w:r>
              <w:rPr>
                <w:rFonts w:eastAsia="MS Mincho" w:cs="Arial"/>
                <w:bCs/>
                <w:color w:val="000000"/>
                <w:szCs w:val="22"/>
                <w:lang w:val="en-GB"/>
              </w:rPr>
              <w:t>some</w:t>
            </w:r>
            <w:r w:rsidRPr="00090EC8">
              <w:rPr>
                <w:rFonts w:eastAsia="MS Mincho" w:cs="Arial"/>
                <w:bCs/>
                <w:color w:val="000000"/>
                <w:szCs w:val="22"/>
                <w:lang w:val="en-GB"/>
              </w:rPr>
              <w:t xml:space="preserve"> Client</w:t>
            </w:r>
            <w:r>
              <w:rPr>
                <w:rFonts w:eastAsia="MS Mincho" w:cs="Arial"/>
                <w:bCs/>
                <w:color w:val="000000"/>
                <w:szCs w:val="22"/>
                <w:lang w:val="en-GB"/>
              </w:rPr>
              <w:t>s</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191F1442" w14:textId="2E9B828C" w:rsidR="006D5785" w:rsidRPr="006D5785" w:rsidRDefault="007C193A" w:rsidP="006D5785">
            <w:pPr>
              <w:jc w:val="left"/>
              <w:rPr>
                <w:rFonts w:cs="Arial"/>
                <w:color w:val="000000" w:themeColor="text1"/>
                <w:szCs w:val="20"/>
              </w:rPr>
            </w:pPr>
            <w:r>
              <w:rPr>
                <w:rFonts w:cs="Arial"/>
                <w:noProof/>
                <w:sz w:val="10"/>
                <w:szCs w:val="20"/>
                <w:lang w:eastAsia="en-GB"/>
              </w:rPr>
              <w:drawing>
                <wp:inline distT="0" distB="0" distL="0" distR="0" wp14:anchorId="6DF5A820" wp14:editId="227B8843">
                  <wp:extent cx="3961788" cy="1721495"/>
                  <wp:effectExtent l="38100" t="0" r="1968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F2C34" w14:textId="77777777" w:rsidR="00B03FD1" w:rsidRDefault="00B03FD1">
      <w:r>
        <w:separator/>
      </w:r>
    </w:p>
  </w:endnote>
  <w:endnote w:type="continuationSeparator" w:id="0">
    <w:p w14:paraId="2E0A01E5" w14:textId="77777777" w:rsidR="00B03FD1" w:rsidRDefault="00B03FD1">
      <w:r>
        <w:continuationSeparator/>
      </w:r>
    </w:p>
  </w:endnote>
  <w:endnote w:type="continuationNotice" w:id="1">
    <w:p w14:paraId="43D404F3" w14:textId="77777777" w:rsidR="00B03FD1" w:rsidRDefault="00B03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58240"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8739" w14:textId="77777777" w:rsidR="00B03FD1" w:rsidRDefault="00B03FD1">
      <w:r>
        <w:separator/>
      </w:r>
    </w:p>
  </w:footnote>
  <w:footnote w:type="continuationSeparator" w:id="0">
    <w:p w14:paraId="25E54B2D" w14:textId="77777777" w:rsidR="00B03FD1" w:rsidRDefault="00B03FD1">
      <w:r>
        <w:continuationSeparator/>
      </w:r>
    </w:p>
  </w:footnote>
  <w:footnote w:type="continuationNotice" w:id="1">
    <w:p w14:paraId="538BB343" w14:textId="77777777" w:rsidR="00B03FD1" w:rsidRDefault="00B03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BCAC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pt;height:9.5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9B1E412E"/>
    <w:lvl w:ilvl="0" w:tplc="04090005">
      <w:start w:val="1"/>
      <w:numFmt w:val="bullet"/>
      <w:lvlText w:val=""/>
      <w:lvlJc w:val="left"/>
      <w:pPr>
        <w:ind w:left="360" w:hanging="360"/>
      </w:pPr>
      <w:rPr>
        <w:rFonts w:ascii="Wingdings" w:hAnsi="Wingdings" w:hint="default"/>
        <w:color w:val="FF0000"/>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5ADE929E"/>
    <w:lvl w:ilvl="0" w:tplc="E24E49EA">
      <w:start w:val="1"/>
      <w:numFmt w:val="bullet"/>
      <w:lvlText w:val="●"/>
      <w:lvlJc w:val="left"/>
      <w:pPr>
        <w:ind w:left="360" w:hanging="360"/>
      </w:pPr>
      <w:rPr>
        <w:rFonts w:ascii="Arial" w:hAnsi="Arial" w:hint="default"/>
        <w:color w:val="FF0000"/>
      </w:rPr>
    </w:lvl>
    <w:lvl w:ilvl="1" w:tplc="08090017">
      <w:start w:val="1"/>
      <w:numFmt w:val="lowerLetter"/>
      <w:lvlText w:val="%2)"/>
      <w:lvlJc w:val="left"/>
      <w:pPr>
        <w:ind w:left="72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6C51B2"/>
    <w:multiLevelType w:val="hybridMultilevel"/>
    <w:tmpl w:val="AD82C8F4"/>
    <w:lvl w:ilvl="0" w:tplc="08090019">
      <w:start w:val="1"/>
      <w:numFmt w:val="lowerLetter"/>
      <w:lvlText w:val="%1."/>
      <w:lvlJc w:val="left"/>
      <w:pPr>
        <w:ind w:left="1080" w:hanging="360"/>
      </w:pPr>
      <w:rPr>
        <w:rFont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42065B18"/>
    <w:lvl w:ilvl="0" w:tplc="E24E49EA">
      <w:start w:val="1"/>
      <w:numFmt w:val="bullet"/>
      <w:lvlText w:val="●"/>
      <w:lvlJc w:val="left"/>
      <w:pPr>
        <w:tabs>
          <w:tab w:val="num" w:pos="360"/>
        </w:tabs>
        <w:ind w:left="360" w:hanging="360"/>
      </w:pPr>
      <w:rPr>
        <w:rFonts w:ascii="Arial" w:hAnsi="Arial" w:hint="default"/>
        <w:color w:val="FF0000"/>
        <w:sz w:val="16"/>
      </w:rPr>
    </w:lvl>
    <w:lvl w:ilvl="1" w:tplc="08090017">
      <w:start w:val="1"/>
      <w:numFmt w:val="lowerLetter"/>
      <w:lvlText w:val="%2)"/>
      <w:lvlJc w:val="left"/>
      <w:pPr>
        <w:ind w:left="720" w:hanging="360"/>
      </w:p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641E67"/>
    <w:multiLevelType w:val="hybridMultilevel"/>
    <w:tmpl w:val="F6A25A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1" w15:restartNumberingAfterBreak="0">
    <w:nsid w:val="6C926970"/>
    <w:multiLevelType w:val="hybridMultilevel"/>
    <w:tmpl w:val="4B126576"/>
    <w:lvl w:ilvl="0" w:tplc="08090017">
      <w:start w:val="1"/>
      <w:numFmt w:val="lowerLetter"/>
      <w:lvlText w:val="%1)"/>
      <w:lvlJc w:val="left"/>
      <w:pPr>
        <w:ind w:left="720" w:hanging="360"/>
      </w:pPr>
    </w:lvl>
    <w:lvl w:ilvl="1" w:tplc="C838B04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E571A75"/>
    <w:multiLevelType w:val="hybridMultilevel"/>
    <w:tmpl w:val="3564A9D6"/>
    <w:lvl w:ilvl="0" w:tplc="08090017">
      <w:start w:val="1"/>
      <w:numFmt w:val="lowerLetter"/>
      <w:lvlText w:val="%1)"/>
      <w:lvlJc w:val="left"/>
      <w:pPr>
        <w:tabs>
          <w:tab w:val="num" w:pos="360"/>
        </w:tabs>
        <w:ind w:left="360" w:hanging="360"/>
      </w:pPr>
      <w:rPr>
        <w:rFonts w:hint="default"/>
        <w:color w:val="FF0000"/>
        <w:sz w:val="16"/>
      </w:rPr>
    </w:lvl>
    <w:lvl w:ilvl="1" w:tplc="FFFFFFFF">
      <w:start w:val="1"/>
      <w:numFmt w:val="bullet"/>
      <w:lvlText w:val="−"/>
      <w:lvlJc w:val="left"/>
      <w:pPr>
        <w:tabs>
          <w:tab w:val="num" w:pos="1080"/>
        </w:tabs>
        <w:ind w:left="1080" w:hanging="360"/>
      </w:pPr>
      <w:rPr>
        <w:rFonts w:ascii="Arial" w:hAnsi="Arial" w:hint="default"/>
        <w:color w:val="FF0000"/>
        <w:sz w:val="16"/>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7"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6"/>
  </w:num>
  <w:num w:numId="2" w16cid:durableId="622349277">
    <w:abstractNumId w:val="34"/>
  </w:num>
  <w:num w:numId="3" w16cid:durableId="550311602">
    <w:abstractNumId w:val="30"/>
  </w:num>
  <w:num w:numId="4" w16cid:durableId="1442384864">
    <w:abstractNumId w:val="7"/>
  </w:num>
  <w:num w:numId="5" w16cid:durableId="858856169">
    <w:abstractNumId w:val="11"/>
  </w:num>
  <w:num w:numId="6" w16cid:durableId="1778941285">
    <w:abstractNumId w:val="21"/>
  </w:num>
  <w:num w:numId="7" w16cid:durableId="1670985634">
    <w:abstractNumId w:val="33"/>
  </w:num>
  <w:num w:numId="8" w16cid:durableId="1465075794">
    <w:abstractNumId w:val="12"/>
  </w:num>
  <w:num w:numId="9" w16cid:durableId="1120950928">
    <w:abstractNumId w:val="22"/>
  </w:num>
  <w:num w:numId="10" w16cid:durableId="1867672630">
    <w:abstractNumId w:val="28"/>
  </w:num>
  <w:num w:numId="11" w16cid:durableId="1292441941">
    <w:abstractNumId w:val="15"/>
  </w:num>
  <w:num w:numId="12" w16cid:durableId="535775843">
    <w:abstractNumId w:val="25"/>
  </w:num>
  <w:num w:numId="13" w16cid:durableId="882788155">
    <w:abstractNumId w:val="35"/>
  </w:num>
  <w:num w:numId="14" w16cid:durableId="1976452099">
    <w:abstractNumId w:val="32"/>
  </w:num>
  <w:num w:numId="15" w16cid:durableId="1792629629">
    <w:abstractNumId w:val="37"/>
  </w:num>
  <w:num w:numId="16" w16cid:durableId="1600018535">
    <w:abstractNumId w:val="8"/>
  </w:num>
  <w:num w:numId="17" w16cid:durableId="1774787898">
    <w:abstractNumId w:val="13"/>
  </w:num>
  <w:num w:numId="18" w16cid:durableId="1104881660">
    <w:abstractNumId w:val="18"/>
  </w:num>
  <w:num w:numId="19" w16cid:durableId="92632144">
    <w:abstractNumId w:val="24"/>
  </w:num>
  <w:num w:numId="20" w16cid:durableId="2108039559">
    <w:abstractNumId w:val="19"/>
  </w:num>
  <w:num w:numId="21" w16cid:durableId="641354061">
    <w:abstractNumId w:val="17"/>
  </w:num>
  <w:num w:numId="22" w16cid:durableId="1322194723">
    <w:abstractNumId w:val="14"/>
  </w:num>
  <w:num w:numId="23" w16cid:durableId="1470393616">
    <w:abstractNumId w:val="20"/>
  </w:num>
  <w:num w:numId="24" w16cid:durableId="581110854">
    <w:abstractNumId w:val="6"/>
  </w:num>
  <w:num w:numId="25" w16cid:durableId="1364792100">
    <w:abstractNumId w:val="3"/>
  </w:num>
  <w:num w:numId="26" w16cid:durableId="286935695">
    <w:abstractNumId w:val="9"/>
  </w:num>
  <w:num w:numId="27" w16cid:durableId="2141067581">
    <w:abstractNumId w:val="5"/>
  </w:num>
  <w:num w:numId="28" w16cid:durableId="1629048879">
    <w:abstractNumId w:val="23"/>
  </w:num>
  <w:num w:numId="29" w16cid:durableId="16544730">
    <w:abstractNumId w:val="2"/>
  </w:num>
  <w:num w:numId="30" w16cid:durableId="834733564">
    <w:abstractNumId w:val="0"/>
  </w:num>
  <w:num w:numId="31" w16cid:durableId="794910256">
    <w:abstractNumId w:val="27"/>
  </w:num>
  <w:num w:numId="32" w16cid:durableId="2069304427">
    <w:abstractNumId w:val="26"/>
  </w:num>
  <w:num w:numId="33" w16cid:durableId="248203151">
    <w:abstractNumId w:val="31"/>
  </w:num>
  <w:num w:numId="34" w16cid:durableId="778527143">
    <w:abstractNumId w:val="36"/>
  </w:num>
  <w:num w:numId="35" w16cid:durableId="1632904476">
    <w:abstractNumId w:val="29"/>
  </w:num>
  <w:num w:numId="36" w16cid:durableId="1530531107">
    <w:abstractNumId w:val="4"/>
  </w:num>
  <w:num w:numId="37" w16cid:durableId="1079253598">
    <w:abstractNumId w:val="1"/>
  </w:num>
  <w:num w:numId="38" w16cid:durableId="134783205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6D1"/>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ABD"/>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A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7E0"/>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781"/>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AA5"/>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C89"/>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6AD"/>
    <w:rsid w:val="003D7D1E"/>
    <w:rsid w:val="003E0353"/>
    <w:rsid w:val="003E0776"/>
    <w:rsid w:val="003E0DE3"/>
    <w:rsid w:val="003E10CD"/>
    <w:rsid w:val="003E15D2"/>
    <w:rsid w:val="003E1E4F"/>
    <w:rsid w:val="003E310D"/>
    <w:rsid w:val="003E3BA9"/>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2A74"/>
    <w:rsid w:val="00453794"/>
    <w:rsid w:val="00453F66"/>
    <w:rsid w:val="004564D6"/>
    <w:rsid w:val="0046199F"/>
    <w:rsid w:val="00461D60"/>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29DD"/>
    <w:rsid w:val="004A3939"/>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DD7"/>
    <w:rsid w:val="00520FDE"/>
    <w:rsid w:val="00521166"/>
    <w:rsid w:val="00521AEE"/>
    <w:rsid w:val="00521C4C"/>
    <w:rsid w:val="00522C4C"/>
    <w:rsid w:val="0052310C"/>
    <w:rsid w:val="005239DA"/>
    <w:rsid w:val="0052424C"/>
    <w:rsid w:val="00525773"/>
    <w:rsid w:val="00525C18"/>
    <w:rsid w:val="0052632E"/>
    <w:rsid w:val="00526388"/>
    <w:rsid w:val="00526FAF"/>
    <w:rsid w:val="00527270"/>
    <w:rsid w:val="00530165"/>
    <w:rsid w:val="00530352"/>
    <w:rsid w:val="00530549"/>
    <w:rsid w:val="00531EB6"/>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66FE4"/>
    <w:rsid w:val="00570358"/>
    <w:rsid w:val="00570548"/>
    <w:rsid w:val="00571722"/>
    <w:rsid w:val="00571A0F"/>
    <w:rsid w:val="00572450"/>
    <w:rsid w:val="00572AC2"/>
    <w:rsid w:val="00573ED7"/>
    <w:rsid w:val="00574D72"/>
    <w:rsid w:val="00574E7C"/>
    <w:rsid w:val="0057748B"/>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26A2"/>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6E49"/>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56AF"/>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33DE"/>
    <w:rsid w:val="006C4377"/>
    <w:rsid w:val="006C45E3"/>
    <w:rsid w:val="006C494A"/>
    <w:rsid w:val="006C60F6"/>
    <w:rsid w:val="006C65DE"/>
    <w:rsid w:val="006C7C7E"/>
    <w:rsid w:val="006D2AC3"/>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598F"/>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6E8"/>
    <w:rsid w:val="00757B67"/>
    <w:rsid w:val="00760F48"/>
    <w:rsid w:val="00761E2A"/>
    <w:rsid w:val="00762812"/>
    <w:rsid w:val="00764876"/>
    <w:rsid w:val="00766BB7"/>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3163"/>
    <w:rsid w:val="007B5D64"/>
    <w:rsid w:val="007C0E94"/>
    <w:rsid w:val="007C12C7"/>
    <w:rsid w:val="007C193A"/>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4E99"/>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10D8"/>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12A2"/>
    <w:rsid w:val="008822AE"/>
    <w:rsid w:val="008832AE"/>
    <w:rsid w:val="0088330A"/>
    <w:rsid w:val="00884F58"/>
    <w:rsid w:val="00885101"/>
    <w:rsid w:val="00891505"/>
    <w:rsid w:val="00892986"/>
    <w:rsid w:val="0089614B"/>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25A4"/>
    <w:rsid w:val="0096606E"/>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3714"/>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8B4"/>
    <w:rsid w:val="00A75FBB"/>
    <w:rsid w:val="00A769F5"/>
    <w:rsid w:val="00A824A9"/>
    <w:rsid w:val="00A82C71"/>
    <w:rsid w:val="00A82E71"/>
    <w:rsid w:val="00A83016"/>
    <w:rsid w:val="00A83178"/>
    <w:rsid w:val="00A831B7"/>
    <w:rsid w:val="00A84169"/>
    <w:rsid w:val="00A862CA"/>
    <w:rsid w:val="00A86A37"/>
    <w:rsid w:val="00A86A70"/>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2CB"/>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3FD1"/>
    <w:rsid w:val="00B05852"/>
    <w:rsid w:val="00B0730D"/>
    <w:rsid w:val="00B07C3C"/>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663DD"/>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2AFE"/>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5E46"/>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0DB5"/>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5408"/>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151"/>
    <w:rsid w:val="00F94472"/>
    <w:rsid w:val="00F94601"/>
    <w:rsid w:val="00F94C65"/>
    <w:rsid w:val="00F9612C"/>
    <w:rsid w:val="00FA09AE"/>
    <w:rsid w:val="00FA2183"/>
    <w:rsid w:val="00FA34CC"/>
    <w:rsid w:val="00FA530E"/>
    <w:rsid w:val="00FA660B"/>
    <w:rsid w:val="00FB0FCE"/>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375C89"/>
    <w:pPr>
      <w:numPr>
        <w:numId w:val="37"/>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dgm:spPr>
        <a:solidFill>
          <a:schemeClr val="accent1"/>
        </a:solidFill>
      </dgm:spPr>
      <dgm:t>
        <a:bodyPr/>
        <a:lstStyle/>
        <a:p>
          <a:r>
            <a:rPr lang="en-GB"/>
            <a:t>Strategic Property Lead</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80430DAA-64FB-44CE-AA19-94247391DD72}">
      <dgm:prSet/>
      <dgm:spPr>
        <a:solidFill>
          <a:srgbClr val="00B050"/>
        </a:solidFill>
      </dgm:spPr>
      <dgm:t>
        <a:bodyPr/>
        <a:lstStyle/>
        <a:p>
          <a:r>
            <a:rPr lang="en-GB"/>
            <a:t>Power BI Data &amp; Reporting Manager</a:t>
          </a:r>
        </a:p>
      </dgm:t>
    </dgm:pt>
    <dgm:pt modelId="{D002879B-7300-4FE2-9955-0AD706A93484}" type="parTrans" cxnId="{DF941E05-D856-43AA-B72A-079A314F4957}">
      <dgm:prSet/>
      <dgm:spPr/>
      <dgm:t>
        <a:bodyPr/>
        <a:lstStyle/>
        <a:p>
          <a:endParaRPr lang="en-GB"/>
        </a:p>
      </dgm:t>
    </dgm:pt>
    <dgm:pt modelId="{4767A9BF-E499-41FC-9CE8-691DA3F81AD1}" type="sibTrans" cxnId="{DF941E05-D856-43AA-B72A-079A314F4957}">
      <dgm:prSet/>
      <dgm:spPr/>
      <dgm:t>
        <a:bodyPr/>
        <a:lstStyle/>
        <a:p>
          <a:endParaRPr lang="en-GB"/>
        </a:p>
      </dgm:t>
    </dgm:pt>
    <dgm:pt modelId="{049461F3-5A0B-45C2-9D5E-6F807FE41856}">
      <dgm:prSet/>
      <dgm:spPr>
        <a:solidFill>
          <a:srgbClr val="0070C0"/>
        </a:solidFill>
      </dgm:spPr>
      <dgm:t>
        <a:bodyPr/>
        <a:lstStyle/>
        <a:p>
          <a:r>
            <a:rPr lang="en-GB"/>
            <a:t>Change Manager</a:t>
          </a:r>
        </a:p>
      </dgm:t>
    </dgm:pt>
    <dgm:pt modelId="{2D11FFE1-88C1-45E3-8F52-C31415A51A08}" type="sibTrans" cxnId="{12070822-A476-4ED7-9133-5207C675D66D}">
      <dgm:prSet/>
      <dgm:spPr/>
      <dgm:t>
        <a:bodyPr/>
        <a:lstStyle/>
        <a:p>
          <a:endParaRPr lang="en-GB"/>
        </a:p>
      </dgm:t>
    </dgm:pt>
    <dgm:pt modelId="{6ABE9C80-3D71-4B8D-8C35-981587401E37}" type="parTrans" cxnId="{12070822-A476-4ED7-9133-5207C675D66D}">
      <dgm:prSet/>
      <dgm:spPr/>
      <dgm:t>
        <a:bodyPr/>
        <a:lstStyle/>
        <a:p>
          <a:endParaRPr lang="en-GB"/>
        </a:p>
      </dgm:t>
    </dgm:pt>
    <dgm:pt modelId="{0771ACB6-FDAC-46FC-B05F-7D45E2F83BEE}">
      <dgm:prSet/>
      <dgm:spPr>
        <a:solidFill>
          <a:srgbClr val="0070C0"/>
        </a:solidFill>
      </dgm:spPr>
      <dgm:t>
        <a:bodyPr/>
        <a:lstStyle/>
        <a:p>
          <a:r>
            <a:rPr lang="en-US"/>
            <a:t>Sustainability, Environment and Energy Analyst</a:t>
          </a:r>
          <a:endParaRPr lang="en-GB"/>
        </a:p>
      </dgm:t>
    </dgm:pt>
    <dgm:pt modelId="{B52EB4DD-303E-44EF-8AB5-F896FF91E8EA}" type="parTrans" cxnId="{411E4E5D-F650-4173-BCC5-F49389D69918}">
      <dgm:prSet/>
      <dgm:spPr/>
      <dgm:t>
        <a:bodyPr/>
        <a:lstStyle/>
        <a:p>
          <a:endParaRPr lang="en-GB"/>
        </a:p>
      </dgm:t>
    </dgm:pt>
    <dgm:pt modelId="{07AB6AEE-F328-4264-BDCC-F5E01715F1DC}" type="sibTrans" cxnId="{411E4E5D-F650-4173-BCC5-F49389D69918}">
      <dgm:prSet/>
      <dgm:spPr/>
      <dgm:t>
        <a:bodyPr/>
        <a:lstStyle/>
        <a:p>
          <a:endParaRPr lang="en-GB"/>
        </a:p>
      </dgm:t>
    </dgm:pt>
    <dgm:pt modelId="{8F2D20C6-FAC3-4BB7-AFBD-AAEC5C711497}">
      <dgm:prSet/>
      <dgm:spPr>
        <a:solidFill>
          <a:srgbClr val="0070C0"/>
        </a:solidFill>
      </dgm:spPr>
      <dgm:t>
        <a:bodyPr/>
        <a:lstStyle/>
        <a:p>
          <a:r>
            <a:rPr lang="en-US"/>
            <a:t>Strategic Asset Manager</a:t>
          </a:r>
          <a:endParaRPr lang="en-GB"/>
        </a:p>
      </dgm:t>
    </dgm:pt>
    <dgm:pt modelId="{F53B28AA-2B75-47FA-ABB0-ECA55D3A9E2A}" type="parTrans" cxnId="{79202CA3-5561-46DA-83B0-01DC2B55CFB5}">
      <dgm:prSet/>
      <dgm:spPr/>
      <dgm:t>
        <a:bodyPr/>
        <a:lstStyle/>
        <a:p>
          <a:endParaRPr lang="en-GB"/>
        </a:p>
      </dgm:t>
    </dgm:pt>
    <dgm:pt modelId="{6BE99E02-53D1-4368-B36A-27C2CDAA7A57}" type="sibTrans" cxnId="{79202CA3-5561-46DA-83B0-01DC2B55CFB5}">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02D119B2-5300-4D98-8D54-3EDEBF96943C}" type="pres">
      <dgm:prSet presAssocID="{D002879B-7300-4FE2-9955-0AD706A93484}" presName="Name37" presStyleLbl="parChTrans1D2" presStyleIdx="0" presStyleCnt="4"/>
      <dgm:spPr/>
    </dgm:pt>
    <dgm:pt modelId="{9E2BED95-8629-4E34-8DF0-19510A27424F}" type="pres">
      <dgm:prSet presAssocID="{80430DAA-64FB-44CE-AA19-94247391DD72}" presName="hierRoot2" presStyleCnt="0">
        <dgm:presLayoutVars>
          <dgm:hierBranch val="init"/>
        </dgm:presLayoutVars>
      </dgm:prSet>
      <dgm:spPr/>
    </dgm:pt>
    <dgm:pt modelId="{494E8114-378C-400E-B229-8F71AEB94527}" type="pres">
      <dgm:prSet presAssocID="{80430DAA-64FB-44CE-AA19-94247391DD72}" presName="rootComposite" presStyleCnt="0"/>
      <dgm:spPr/>
    </dgm:pt>
    <dgm:pt modelId="{D473B455-7111-4D34-B762-6CDA67D349D6}" type="pres">
      <dgm:prSet presAssocID="{80430DAA-64FB-44CE-AA19-94247391DD72}" presName="rootText" presStyleLbl="node2" presStyleIdx="0" presStyleCnt="4">
        <dgm:presLayoutVars>
          <dgm:chPref val="3"/>
        </dgm:presLayoutVars>
      </dgm:prSet>
      <dgm:spPr/>
    </dgm:pt>
    <dgm:pt modelId="{D9DB5EB3-6CD6-4E8E-9EF8-E02865A7F405}" type="pres">
      <dgm:prSet presAssocID="{80430DAA-64FB-44CE-AA19-94247391DD72}" presName="rootConnector" presStyleLbl="node2" presStyleIdx="0" presStyleCnt="4"/>
      <dgm:spPr/>
    </dgm:pt>
    <dgm:pt modelId="{BD40F60D-6D4D-4F8C-9F01-FB13C8048842}" type="pres">
      <dgm:prSet presAssocID="{80430DAA-64FB-44CE-AA19-94247391DD72}" presName="hierChild4" presStyleCnt="0"/>
      <dgm:spPr/>
    </dgm:pt>
    <dgm:pt modelId="{5111E707-94DA-44B3-AE9C-BA4785301AD5}" type="pres">
      <dgm:prSet presAssocID="{80430DAA-64FB-44CE-AA19-94247391DD72}" presName="hierChild5" presStyleCnt="0"/>
      <dgm:spPr/>
    </dgm:pt>
    <dgm:pt modelId="{2F5DFC51-5621-4E93-AD81-2399865C864B}" type="pres">
      <dgm:prSet presAssocID="{6ABE9C80-3D71-4B8D-8C35-981587401E37}" presName="Name37" presStyleLbl="parChTrans1D2" presStyleIdx="1" presStyleCnt="4"/>
      <dgm:spPr/>
    </dgm:pt>
    <dgm:pt modelId="{8E99831D-2722-439E-9FA6-0683663BA313}" type="pres">
      <dgm:prSet presAssocID="{049461F3-5A0B-45C2-9D5E-6F807FE41856}" presName="hierRoot2" presStyleCnt="0">
        <dgm:presLayoutVars>
          <dgm:hierBranch val="init"/>
        </dgm:presLayoutVars>
      </dgm:prSet>
      <dgm:spPr/>
    </dgm:pt>
    <dgm:pt modelId="{50AE9E94-8284-4EF2-A736-4A03840E5C5D}" type="pres">
      <dgm:prSet presAssocID="{049461F3-5A0B-45C2-9D5E-6F807FE41856}" presName="rootComposite" presStyleCnt="0"/>
      <dgm:spPr/>
    </dgm:pt>
    <dgm:pt modelId="{6E43873F-B9A3-4E45-95A4-EFE8E33CEF0B}" type="pres">
      <dgm:prSet presAssocID="{049461F3-5A0B-45C2-9D5E-6F807FE41856}" presName="rootText" presStyleLbl="node2" presStyleIdx="1" presStyleCnt="4">
        <dgm:presLayoutVars>
          <dgm:chPref val="3"/>
        </dgm:presLayoutVars>
      </dgm:prSet>
      <dgm:spPr/>
    </dgm:pt>
    <dgm:pt modelId="{C5A2A06B-5EA5-47D8-A852-04AC24691E5A}" type="pres">
      <dgm:prSet presAssocID="{049461F3-5A0B-45C2-9D5E-6F807FE41856}" presName="rootConnector" presStyleLbl="node2" presStyleIdx="1" presStyleCnt="4"/>
      <dgm:spPr/>
    </dgm:pt>
    <dgm:pt modelId="{17BE35B4-E7E0-4BB8-8E46-943CFF139006}" type="pres">
      <dgm:prSet presAssocID="{049461F3-5A0B-45C2-9D5E-6F807FE41856}" presName="hierChild4" presStyleCnt="0"/>
      <dgm:spPr/>
    </dgm:pt>
    <dgm:pt modelId="{295EF801-FD05-4904-A7F8-B306F43DE6A5}" type="pres">
      <dgm:prSet presAssocID="{049461F3-5A0B-45C2-9D5E-6F807FE41856}" presName="hierChild5" presStyleCnt="0"/>
      <dgm:spPr/>
    </dgm:pt>
    <dgm:pt modelId="{8FF30F81-2949-4643-AB8D-01493BD27694}" type="pres">
      <dgm:prSet presAssocID="{B52EB4DD-303E-44EF-8AB5-F896FF91E8EA}" presName="Name37" presStyleLbl="parChTrans1D2" presStyleIdx="2" presStyleCnt="4"/>
      <dgm:spPr/>
    </dgm:pt>
    <dgm:pt modelId="{44E37FE6-83FC-44E2-AE8D-8DBD8BE5A09B}" type="pres">
      <dgm:prSet presAssocID="{0771ACB6-FDAC-46FC-B05F-7D45E2F83BEE}" presName="hierRoot2" presStyleCnt="0">
        <dgm:presLayoutVars>
          <dgm:hierBranch val="init"/>
        </dgm:presLayoutVars>
      </dgm:prSet>
      <dgm:spPr/>
    </dgm:pt>
    <dgm:pt modelId="{29678C8D-F546-4C19-B437-16ED2205442B}" type="pres">
      <dgm:prSet presAssocID="{0771ACB6-FDAC-46FC-B05F-7D45E2F83BEE}" presName="rootComposite" presStyleCnt="0"/>
      <dgm:spPr/>
    </dgm:pt>
    <dgm:pt modelId="{0CEA46B5-AF9D-45D7-9CD0-771E087867C0}" type="pres">
      <dgm:prSet presAssocID="{0771ACB6-FDAC-46FC-B05F-7D45E2F83BEE}" presName="rootText" presStyleLbl="node2" presStyleIdx="2" presStyleCnt="4">
        <dgm:presLayoutVars>
          <dgm:chPref val="3"/>
        </dgm:presLayoutVars>
      </dgm:prSet>
      <dgm:spPr/>
    </dgm:pt>
    <dgm:pt modelId="{22A7CD6E-6A6F-407C-BD62-6A2655546583}" type="pres">
      <dgm:prSet presAssocID="{0771ACB6-FDAC-46FC-B05F-7D45E2F83BEE}" presName="rootConnector" presStyleLbl="node2" presStyleIdx="2" presStyleCnt="4"/>
      <dgm:spPr/>
    </dgm:pt>
    <dgm:pt modelId="{25109376-9703-4B4E-BCD5-6E6D1D16A1CD}" type="pres">
      <dgm:prSet presAssocID="{0771ACB6-FDAC-46FC-B05F-7D45E2F83BEE}" presName="hierChild4" presStyleCnt="0"/>
      <dgm:spPr/>
    </dgm:pt>
    <dgm:pt modelId="{A79E3C84-FBCB-4EF9-83B2-86DAE750C9A2}" type="pres">
      <dgm:prSet presAssocID="{0771ACB6-FDAC-46FC-B05F-7D45E2F83BEE}" presName="hierChild5" presStyleCnt="0"/>
      <dgm:spPr/>
    </dgm:pt>
    <dgm:pt modelId="{3FBF0D90-C3EB-4F2B-98EA-9379DC8E08EE}" type="pres">
      <dgm:prSet presAssocID="{F53B28AA-2B75-47FA-ABB0-ECA55D3A9E2A}" presName="Name37" presStyleLbl="parChTrans1D2" presStyleIdx="3" presStyleCnt="4"/>
      <dgm:spPr/>
    </dgm:pt>
    <dgm:pt modelId="{A05AFF26-C7E8-46BB-AA82-60941C2BCB34}" type="pres">
      <dgm:prSet presAssocID="{8F2D20C6-FAC3-4BB7-AFBD-AAEC5C711497}" presName="hierRoot2" presStyleCnt="0">
        <dgm:presLayoutVars>
          <dgm:hierBranch val="init"/>
        </dgm:presLayoutVars>
      </dgm:prSet>
      <dgm:spPr/>
    </dgm:pt>
    <dgm:pt modelId="{A0A80F20-6C43-49B0-938F-6DFE8F1BFD59}" type="pres">
      <dgm:prSet presAssocID="{8F2D20C6-FAC3-4BB7-AFBD-AAEC5C711497}" presName="rootComposite" presStyleCnt="0"/>
      <dgm:spPr/>
    </dgm:pt>
    <dgm:pt modelId="{44A9C006-90F1-4D6C-98E5-0A246B638BC8}" type="pres">
      <dgm:prSet presAssocID="{8F2D20C6-FAC3-4BB7-AFBD-AAEC5C711497}" presName="rootText" presStyleLbl="node2" presStyleIdx="3" presStyleCnt="4">
        <dgm:presLayoutVars>
          <dgm:chPref val="3"/>
        </dgm:presLayoutVars>
      </dgm:prSet>
      <dgm:spPr/>
    </dgm:pt>
    <dgm:pt modelId="{A896A59D-3475-46A2-A2BF-A03B72DDBE98}" type="pres">
      <dgm:prSet presAssocID="{8F2D20C6-FAC3-4BB7-AFBD-AAEC5C711497}" presName="rootConnector" presStyleLbl="node2" presStyleIdx="3" presStyleCnt="4"/>
      <dgm:spPr/>
    </dgm:pt>
    <dgm:pt modelId="{AF41C8DE-F7F2-49FC-A403-AC25D35A44B8}" type="pres">
      <dgm:prSet presAssocID="{8F2D20C6-FAC3-4BB7-AFBD-AAEC5C711497}" presName="hierChild4" presStyleCnt="0"/>
      <dgm:spPr/>
    </dgm:pt>
    <dgm:pt modelId="{8769B56A-66CF-47A6-9C40-9342B8E3AAA5}" type="pres">
      <dgm:prSet presAssocID="{8F2D20C6-FAC3-4BB7-AFBD-AAEC5C711497}" presName="hierChild5" presStyleCnt="0"/>
      <dgm:spPr/>
    </dgm:pt>
    <dgm:pt modelId="{7B077A6F-CEBB-49F2-A8D1-554AFBAE4E57}" type="pres">
      <dgm:prSet presAssocID="{F8882217-4CB2-4CCD-A7C0-70B40A8A6991}" presName="hierChild3" presStyleCnt="0"/>
      <dgm:spPr/>
    </dgm:pt>
  </dgm:ptLst>
  <dgm:cxnLst>
    <dgm:cxn modelId="{CC7B0501-56FE-40FE-A3CD-E695612D5B01}" type="presOf" srcId="{80430DAA-64FB-44CE-AA19-94247391DD72}" destId="{D473B455-7111-4D34-B762-6CDA67D349D6}" srcOrd="0" destOrd="0" presId="urn:microsoft.com/office/officeart/2005/8/layout/orgChart1"/>
    <dgm:cxn modelId="{2E3C8C03-C3F5-48B9-87F4-56B76D11EEA5}" type="presOf" srcId="{F53B28AA-2B75-47FA-ABB0-ECA55D3A9E2A}" destId="{3FBF0D90-C3EB-4F2B-98EA-9379DC8E08EE}" srcOrd="0" destOrd="0" presId="urn:microsoft.com/office/officeart/2005/8/layout/orgChart1"/>
    <dgm:cxn modelId="{DF941E05-D856-43AA-B72A-079A314F4957}" srcId="{F8882217-4CB2-4CCD-A7C0-70B40A8A6991}" destId="{80430DAA-64FB-44CE-AA19-94247391DD72}" srcOrd="0" destOrd="0" parTransId="{D002879B-7300-4FE2-9955-0AD706A93484}" sibTransId="{4767A9BF-E499-41FC-9CE8-691DA3F81AD1}"/>
    <dgm:cxn modelId="{3F7ADC08-7129-454C-BA3C-3A3661117D60}" type="presOf" srcId="{0771ACB6-FDAC-46FC-B05F-7D45E2F83BEE}" destId="{0CEA46B5-AF9D-45D7-9CD0-771E087867C0}" srcOrd="0" destOrd="0" presId="urn:microsoft.com/office/officeart/2005/8/layout/orgChart1"/>
    <dgm:cxn modelId="{91F67D17-481A-4F92-906D-937421B0117C}" type="presOf" srcId="{049461F3-5A0B-45C2-9D5E-6F807FE41856}" destId="{6E43873F-B9A3-4E45-95A4-EFE8E33CEF0B}" srcOrd="0" destOrd="0" presId="urn:microsoft.com/office/officeart/2005/8/layout/orgChart1"/>
    <dgm:cxn modelId="{BF00021C-3DC0-4E43-946E-0DE76C5B2AED}" type="presOf" srcId="{8F2D20C6-FAC3-4BB7-AFBD-AAEC5C711497}" destId="{44A9C006-90F1-4D6C-98E5-0A246B638BC8}" srcOrd="0" destOrd="0" presId="urn:microsoft.com/office/officeart/2005/8/layout/orgChart1"/>
    <dgm:cxn modelId="{12070822-A476-4ED7-9133-5207C675D66D}" srcId="{F8882217-4CB2-4CCD-A7C0-70B40A8A6991}" destId="{049461F3-5A0B-45C2-9D5E-6F807FE41856}" srcOrd="1" destOrd="0" parTransId="{6ABE9C80-3D71-4B8D-8C35-981587401E37}" sibTransId="{2D11FFE1-88C1-45E3-8F52-C31415A51A08}"/>
    <dgm:cxn modelId="{7098053F-985E-4E52-8421-B80E628D836E}" type="presOf" srcId="{F8882217-4CB2-4CCD-A7C0-70B40A8A6991}" destId="{2398DC5A-0585-4717-BB46-527084AD61FD}" srcOrd="0" destOrd="0" presId="urn:microsoft.com/office/officeart/2005/8/layout/orgChart1"/>
    <dgm:cxn modelId="{411E4E5D-F650-4173-BCC5-F49389D69918}" srcId="{F8882217-4CB2-4CCD-A7C0-70B40A8A6991}" destId="{0771ACB6-FDAC-46FC-B05F-7D45E2F83BEE}" srcOrd="2" destOrd="0" parTransId="{B52EB4DD-303E-44EF-8AB5-F896FF91E8EA}" sibTransId="{07AB6AEE-F328-4264-BDCC-F5E01715F1DC}"/>
    <dgm:cxn modelId="{CB52F961-0314-4094-8827-7A3E1DAA50CD}" type="presOf" srcId="{049461F3-5A0B-45C2-9D5E-6F807FE41856}" destId="{C5A2A06B-5EA5-47D8-A852-04AC24691E5A}" srcOrd="1" destOrd="0" presId="urn:microsoft.com/office/officeart/2005/8/layout/orgChart1"/>
    <dgm:cxn modelId="{51F03256-BED7-47F5-B0B2-DF64D2FDC14C}" type="presOf" srcId="{D002879B-7300-4FE2-9955-0AD706A93484}" destId="{02D119B2-5300-4D98-8D54-3EDEBF96943C}" srcOrd="0" destOrd="0" presId="urn:microsoft.com/office/officeart/2005/8/layout/orgChart1"/>
    <dgm:cxn modelId="{79202CA3-5561-46DA-83B0-01DC2B55CFB5}" srcId="{F8882217-4CB2-4CCD-A7C0-70B40A8A6991}" destId="{8F2D20C6-FAC3-4BB7-AFBD-AAEC5C711497}" srcOrd="3" destOrd="0" parTransId="{F53B28AA-2B75-47FA-ABB0-ECA55D3A9E2A}" sibTransId="{6BE99E02-53D1-4368-B36A-27C2CDAA7A57}"/>
    <dgm:cxn modelId="{7C3711AD-68C2-4AD9-B7FD-5A8ECCAA66E0}" type="presOf" srcId="{B52EB4DD-303E-44EF-8AB5-F896FF91E8EA}" destId="{8FF30F81-2949-4643-AB8D-01493BD27694}" srcOrd="0" destOrd="0" presId="urn:microsoft.com/office/officeart/2005/8/layout/orgChart1"/>
    <dgm:cxn modelId="{467C2FB3-4539-4520-A037-3828B0496A52}" type="presOf" srcId="{8F2D20C6-FAC3-4BB7-AFBD-AAEC5C711497}" destId="{A896A59D-3475-46A2-A2BF-A03B72DDBE98}" srcOrd="1" destOrd="0" presId="urn:microsoft.com/office/officeart/2005/8/layout/orgChart1"/>
    <dgm:cxn modelId="{F98F53B6-7068-4307-B5A1-15FBA823B267}" type="presOf" srcId="{F8882217-4CB2-4CCD-A7C0-70B40A8A6991}" destId="{BE1ACD3C-FB44-45BB-81EF-195BE2E691EB}"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29CAD3C7-8766-42A2-8FFD-597CA2A2D0F6}" type="presOf" srcId="{80430DAA-64FB-44CE-AA19-94247391DD72}" destId="{D9DB5EB3-6CD6-4E8E-9EF8-E02865A7F405}" srcOrd="1" destOrd="0" presId="urn:microsoft.com/office/officeart/2005/8/layout/orgChart1"/>
    <dgm:cxn modelId="{F99D0EDE-3F10-464E-AAD6-FF04E5DAF43F}" type="presOf" srcId="{0771ACB6-FDAC-46FC-B05F-7D45E2F83BEE}" destId="{22A7CD6E-6A6F-407C-BD62-6A2655546583}" srcOrd="1" destOrd="0" presId="urn:microsoft.com/office/officeart/2005/8/layout/orgChart1"/>
    <dgm:cxn modelId="{4ED0CBEA-FEEC-4192-9BEB-EAD2B353AC9A}" type="presOf" srcId="{6ABE9C80-3D71-4B8D-8C35-981587401E37}" destId="{2F5DFC51-5621-4E93-AD81-2399865C864B}" srcOrd="0"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1C94B416-F2C0-4631-BA1B-A56D6F034005}" type="presParOf" srcId="{3AD6D796-1D80-40A9-8503-66C4C09AEB27}" destId="{02D119B2-5300-4D98-8D54-3EDEBF96943C}" srcOrd="0" destOrd="0" presId="urn:microsoft.com/office/officeart/2005/8/layout/orgChart1"/>
    <dgm:cxn modelId="{E0B36242-6B0B-44AD-A72F-AEC559C9F3A4}" type="presParOf" srcId="{3AD6D796-1D80-40A9-8503-66C4C09AEB27}" destId="{9E2BED95-8629-4E34-8DF0-19510A27424F}" srcOrd="1" destOrd="0" presId="urn:microsoft.com/office/officeart/2005/8/layout/orgChart1"/>
    <dgm:cxn modelId="{D2706284-063A-4122-A551-FF6B5281F152}" type="presParOf" srcId="{9E2BED95-8629-4E34-8DF0-19510A27424F}" destId="{494E8114-378C-400E-B229-8F71AEB94527}" srcOrd="0" destOrd="0" presId="urn:microsoft.com/office/officeart/2005/8/layout/orgChart1"/>
    <dgm:cxn modelId="{9C7786DB-7331-459D-8C51-F29CCB8A04B9}" type="presParOf" srcId="{494E8114-378C-400E-B229-8F71AEB94527}" destId="{D473B455-7111-4D34-B762-6CDA67D349D6}" srcOrd="0" destOrd="0" presId="urn:microsoft.com/office/officeart/2005/8/layout/orgChart1"/>
    <dgm:cxn modelId="{4CA8352F-A1B1-4AD5-BED5-EE16F7F183A0}" type="presParOf" srcId="{494E8114-378C-400E-B229-8F71AEB94527}" destId="{D9DB5EB3-6CD6-4E8E-9EF8-E02865A7F405}" srcOrd="1" destOrd="0" presId="urn:microsoft.com/office/officeart/2005/8/layout/orgChart1"/>
    <dgm:cxn modelId="{CF7E8A6E-CC47-4704-9532-BEAE75979BCD}" type="presParOf" srcId="{9E2BED95-8629-4E34-8DF0-19510A27424F}" destId="{BD40F60D-6D4D-4F8C-9F01-FB13C8048842}" srcOrd="1" destOrd="0" presId="urn:microsoft.com/office/officeart/2005/8/layout/orgChart1"/>
    <dgm:cxn modelId="{B6D17305-8943-467B-93D1-56CC65A80C78}" type="presParOf" srcId="{9E2BED95-8629-4E34-8DF0-19510A27424F}" destId="{5111E707-94DA-44B3-AE9C-BA4785301AD5}" srcOrd="2" destOrd="0" presId="urn:microsoft.com/office/officeart/2005/8/layout/orgChart1"/>
    <dgm:cxn modelId="{7A6CD14A-3F82-4D36-95D5-FBD0C6A0E570}" type="presParOf" srcId="{3AD6D796-1D80-40A9-8503-66C4C09AEB27}" destId="{2F5DFC51-5621-4E93-AD81-2399865C864B}" srcOrd="2" destOrd="0" presId="urn:microsoft.com/office/officeart/2005/8/layout/orgChart1"/>
    <dgm:cxn modelId="{E2F116D0-A4E8-4C60-9427-2C2F25DBF1F6}" type="presParOf" srcId="{3AD6D796-1D80-40A9-8503-66C4C09AEB27}" destId="{8E99831D-2722-439E-9FA6-0683663BA313}" srcOrd="3" destOrd="0" presId="urn:microsoft.com/office/officeart/2005/8/layout/orgChart1"/>
    <dgm:cxn modelId="{AFE57DE8-6EFD-497B-83D4-76B31B9BBF76}" type="presParOf" srcId="{8E99831D-2722-439E-9FA6-0683663BA313}" destId="{50AE9E94-8284-4EF2-A736-4A03840E5C5D}" srcOrd="0" destOrd="0" presId="urn:microsoft.com/office/officeart/2005/8/layout/orgChart1"/>
    <dgm:cxn modelId="{47430588-003F-4AC2-97D4-4D4759F16997}" type="presParOf" srcId="{50AE9E94-8284-4EF2-A736-4A03840E5C5D}" destId="{6E43873F-B9A3-4E45-95A4-EFE8E33CEF0B}" srcOrd="0" destOrd="0" presId="urn:microsoft.com/office/officeart/2005/8/layout/orgChart1"/>
    <dgm:cxn modelId="{32C58CD8-DD0D-49A1-9971-3E01081953C9}" type="presParOf" srcId="{50AE9E94-8284-4EF2-A736-4A03840E5C5D}" destId="{C5A2A06B-5EA5-47D8-A852-04AC24691E5A}" srcOrd="1" destOrd="0" presId="urn:microsoft.com/office/officeart/2005/8/layout/orgChart1"/>
    <dgm:cxn modelId="{B6AA0170-9E91-4B52-A484-9C3CB6139597}" type="presParOf" srcId="{8E99831D-2722-439E-9FA6-0683663BA313}" destId="{17BE35B4-E7E0-4BB8-8E46-943CFF139006}" srcOrd="1" destOrd="0" presId="urn:microsoft.com/office/officeart/2005/8/layout/orgChart1"/>
    <dgm:cxn modelId="{226D5EA6-7B15-43EB-AC4B-76F899800DB9}" type="presParOf" srcId="{8E99831D-2722-439E-9FA6-0683663BA313}" destId="{295EF801-FD05-4904-A7F8-B306F43DE6A5}" srcOrd="2" destOrd="0" presId="urn:microsoft.com/office/officeart/2005/8/layout/orgChart1"/>
    <dgm:cxn modelId="{73355EA7-38F3-4DD1-BE9F-C9176FFBD944}" type="presParOf" srcId="{3AD6D796-1D80-40A9-8503-66C4C09AEB27}" destId="{8FF30F81-2949-4643-AB8D-01493BD27694}" srcOrd="4" destOrd="0" presId="urn:microsoft.com/office/officeart/2005/8/layout/orgChart1"/>
    <dgm:cxn modelId="{BD39DBF6-C1B1-46CD-83E8-468C69588E05}" type="presParOf" srcId="{3AD6D796-1D80-40A9-8503-66C4C09AEB27}" destId="{44E37FE6-83FC-44E2-AE8D-8DBD8BE5A09B}" srcOrd="5" destOrd="0" presId="urn:microsoft.com/office/officeart/2005/8/layout/orgChart1"/>
    <dgm:cxn modelId="{7057C0C9-2C5D-4D2B-BEA4-DBD64A470854}" type="presParOf" srcId="{44E37FE6-83FC-44E2-AE8D-8DBD8BE5A09B}" destId="{29678C8D-F546-4C19-B437-16ED2205442B}" srcOrd="0" destOrd="0" presId="urn:microsoft.com/office/officeart/2005/8/layout/orgChart1"/>
    <dgm:cxn modelId="{F4E4440E-E702-4E30-88EC-61E54224074B}" type="presParOf" srcId="{29678C8D-F546-4C19-B437-16ED2205442B}" destId="{0CEA46B5-AF9D-45D7-9CD0-771E087867C0}" srcOrd="0" destOrd="0" presId="urn:microsoft.com/office/officeart/2005/8/layout/orgChart1"/>
    <dgm:cxn modelId="{237CC503-B639-4422-9F1D-F4FAF5B18FC0}" type="presParOf" srcId="{29678C8D-F546-4C19-B437-16ED2205442B}" destId="{22A7CD6E-6A6F-407C-BD62-6A2655546583}" srcOrd="1" destOrd="0" presId="urn:microsoft.com/office/officeart/2005/8/layout/orgChart1"/>
    <dgm:cxn modelId="{F46AAB68-EBEC-4E1B-9C78-38C17A2F371D}" type="presParOf" srcId="{44E37FE6-83FC-44E2-AE8D-8DBD8BE5A09B}" destId="{25109376-9703-4B4E-BCD5-6E6D1D16A1CD}" srcOrd="1" destOrd="0" presId="urn:microsoft.com/office/officeart/2005/8/layout/orgChart1"/>
    <dgm:cxn modelId="{765CFB33-C6CC-4EB7-920F-A363ECD00C9D}" type="presParOf" srcId="{44E37FE6-83FC-44E2-AE8D-8DBD8BE5A09B}" destId="{A79E3C84-FBCB-4EF9-83B2-86DAE750C9A2}" srcOrd="2" destOrd="0" presId="urn:microsoft.com/office/officeart/2005/8/layout/orgChart1"/>
    <dgm:cxn modelId="{CC04CC7E-2A13-4D7A-BB4C-6682B19C2034}" type="presParOf" srcId="{3AD6D796-1D80-40A9-8503-66C4C09AEB27}" destId="{3FBF0D90-C3EB-4F2B-98EA-9379DC8E08EE}" srcOrd="6" destOrd="0" presId="urn:microsoft.com/office/officeart/2005/8/layout/orgChart1"/>
    <dgm:cxn modelId="{FAF0527D-451B-4076-A91E-B52AF1F42FE2}" type="presParOf" srcId="{3AD6D796-1D80-40A9-8503-66C4C09AEB27}" destId="{A05AFF26-C7E8-46BB-AA82-60941C2BCB34}" srcOrd="7" destOrd="0" presId="urn:microsoft.com/office/officeart/2005/8/layout/orgChart1"/>
    <dgm:cxn modelId="{FCED207B-1CEC-47ED-8099-45EC97B2550C}" type="presParOf" srcId="{A05AFF26-C7E8-46BB-AA82-60941C2BCB34}" destId="{A0A80F20-6C43-49B0-938F-6DFE8F1BFD59}" srcOrd="0" destOrd="0" presId="urn:microsoft.com/office/officeart/2005/8/layout/orgChart1"/>
    <dgm:cxn modelId="{839714B3-2F12-409B-855C-39C56DC4CDEC}" type="presParOf" srcId="{A0A80F20-6C43-49B0-938F-6DFE8F1BFD59}" destId="{44A9C006-90F1-4D6C-98E5-0A246B638BC8}" srcOrd="0" destOrd="0" presId="urn:microsoft.com/office/officeart/2005/8/layout/orgChart1"/>
    <dgm:cxn modelId="{F2783942-EDA0-4C2F-AFA4-9EACAE0AE9CA}" type="presParOf" srcId="{A0A80F20-6C43-49B0-938F-6DFE8F1BFD59}" destId="{A896A59D-3475-46A2-A2BF-A03B72DDBE98}" srcOrd="1" destOrd="0" presId="urn:microsoft.com/office/officeart/2005/8/layout/orgChart1"/>
    <dgm:cxn modelId="{A77B2583-B8D2-4C61-864E-EA7B46285FD3}" type="presParOf" srcId="{A05AFF26-C7E8-46BB-AA82-60941C2BCB34}" destId="{AF41C8DE-F7F2-49FC-A403-AC25D35A44B8}" srcOrd="1" destOrd="0" presId="urn:microsoft.com/office/officeart/2005/8/layout/orgChart1"/>
    <dgm:cxn modelId="{0D87E8B0-2BC2-4A2F-9B69-C6B9D39024DC}" type="presParOf" srcId="{A05AFF26-C7E8-46BB-AA82-60941C2BCB34}" destId="{8769B56A-66CF-47A6-9C40-9342B8E3AAA5}"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BF0D90-C3EB-4F2B-98EA-9379DC8E08EE}">
      <dsp:nvSpPr>
        <dsp:cNvPr id="0" name=""/>
        <dsp:cNvSpPr/>
      </dsp:nvSpPr>
      <dsp:spPr>
        <a:xfrm>
          <a:off x="1980894" y="770994"/>
          <a:ext cx="1551448" cy="179506"/>
        </a:xfrm>
        <a:custGeom>
          <a:avLst/>
          <a:gdLst/>
          <a:ahLst/>
          <a:cxnLst/>
          <a:rect l="0" t="0" r="0" b="0"/>
          <a:pathLst>
            <a:path>
              <a:moveTo>
                <a:pt x="0" y="0"/>
              </a:moveTo>
              <a:lnTo>
                <a:pt x="0" y="89753"/>
              </a:lnTo>
              <a:lnTo>
                <a:pt x="1551448" y="89753"/>
              </a:lnTo>
              <a:lnTo>
                <a:pt x="1551448" y="1795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30F81-2949-4643-AB8D-01493BD27694}">
      <dsp:nvSpPr>
        <dsp:cNvPr id="0" name=""/>
        <dsp:cNvSpPr/>
      </dsp:nvSpPr>
      <dsp:spPr>
        <a:xfrm>
          <a:off x="1980894" y="770994"/>
          <a:ext cx="517149" cy="179506"/>
        </a:xfrm>
        <a:custGeom>
          <a:avLst/>
          <a:gdLst/>
          <a:ahLst/>
          <a:cxnLst/>
          <a:rect l="0" t="0" r="0" b="0"/>
          <a:pathLst>
            <a:path>
              <a:moveTo>
                <a:pt x="0" y="0"/>
              </a:moveTo>
              <a:lnTo>
                <a:pt x="0" y="89753"/>
              </a:lnTo>
              <a:lnTo>
                <a:pt x="517149" y="89753"/>
              </a:lnTo>
              <a:lnTo>
                <a:pt x="517149" y="1795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5DFC51-5621-4E93-AD81-2399865C864B}">
      <dsp:nvSpPr>
        <dsp:cNvPr id="0" name=""/>
        <dsp:cNvSpPr/>
      </dsp:nvSpPr>
      <dsp:spPr>
        <a:xfrm>
          <a:off x="1463744" y="770994"/>
          <a:ext cx="517149" cy="179506"/>
        </a:xfrm>
        <a:custGeom>
          <a:avLst/>
          <a:gdLst/>
          <a:ahLst/>
          <a:cxnLst/>
          <a:rect l="0" t="0" r="0" b="0"/>
          <a:pathLst>
            <a:path>
              <a:moveTo>
                <a:pt x="517149" y="0"/>
              </a:moveTo>
              <a:lnTo>
                <a:pt x="517149" y="89753"/>
              </a:lnTo>
              <a:lnTo>
                <a:pt x="0" y="89753"/>
              </a:lnTo>
              <a:lnTo>
                <a:pt x="0" y="1795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D119B2-5300-4D98-8D54-3EDEBF96943C}">
      <dsp:nvSpPr>
        <dsp:cNvPr id="0" name=""/>
        <dsp:cNvSpPr/>
      </dsp:nvSpPr>
      <dsp:spPr>
        <a:xfrm>
          <a:off x="429445" y="770994"/>
          <a:ext cx="1551448" cy="179506"/>
        </a:xfrm>
        <a:custGeom>
          <a:avLst/>
          <a:gdLst/>
          <a:ahLst/>
          <a:cxnLst/>
          <a:rect l="0" t="0" r="0" b="0"/>
          <a:pathLst>
            <a:path>
              <a:moveTo>
                <a:pt x="1551448" y="0"/>
              </a:moveTo>
              <a:lnTo>
                <a:pt x="1551448" y="89753"/>
              </a:lnTo>
              <a:lnTo>
                <a:pt x="0" y="89753"/>
              </a:lnTo>
              <a:lnTo>
                <a:pt x="0" y="1795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553497" y="343598"/>
          <a:ext cx="854792" cy="4273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Strategic Property Lead</a:t>
          </a:r>
        </a:p>
      </dsp:txBody>
      <dsp:txXfrm>
        <a:off x="1553497" y="343598"/>
        <a:ext cx="854792" cy="427396"/>
      </dsp:txXfrm>
    </dsp:sp>
    <dsp:sp modelId="{D473B455-7111-4D34-B762-6CDA67D349D6}">
      <dsp:nvSpPr>
        <dsp:cNvPr id="0" name=""/>
        <dsp:cNvSpPr/>
      </dsp:nvSpPr>
      <dsp:spPr>
        <a:xfrm>
          <a:off x="2049" y="950500"/>
          <a:ext cx="854792" cy="42739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Power BI Data &amp; Reporting Manager</a:t>
          </a:r>
        </a:p>
      </dsp:txBody>
      <dsp:txXfrm>
        <a:off x="2049" y="950500"/>
        <a:ext cx="854792" cy="427396"/>
      </dsp:txXfrm>
    </dsp:sp>
    <dsp:sp modelId="{6E43873F-B9A3-4E45-95A4-EFE8E33CEF0B}">
      <dsp:nvSpPr>
        <dsp:cNvPr id="0" name=""/>
        <dsp:cNvSpPr/>
      </dsp:nvSpPr>
      <dsp:spPr>
        <a:xfrm>
          <a:off x="1036348" y="950500"/>
          <a:ext cx="854792" cy="427396"/>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Change Manager</a:t>
          </a:r>
        </a:p>
      </dsp:txBody>
      <dsp:txXfrm>
        <a:off x="1036348" y="950500"/>
        <a:ext cx="854792" cy="427396"/>
      </dsp:txXfrm>
    </dsp:sp>
    <dsp:sp modelId="{0CEA46B5-AF9D-45D7-9CD0-771E087867C0}">
      <dsp:nvSpPr>
        <dsp:cNvPr id="0" name=""/>
        <dsp:cNvSpPr/>
      </dsp:nvSpPr>
      <dsp:spPr>
        <a:xfrm>
          <a:off x="2070647" y="950500"/>
          <a:ext cx="854792" cy="427396"/>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Sustainability, Environment and Energy Analyst</a:t>
          </a:r>
          <a:endParaRPr lang="en-GB" sz="900" kern="1200"/>
        </a:p>
      </dsp:txBody>
      <dsp:txXfrm>
        <a:off x="2070647" y="950500"/>
        <a:ext cx="854792" cy="427396"/>
      </dsp:txXfrm>
    </dsp:sp>
    <dsp:sp modelId="{44A9C006-90F1-4D6C-98E5-0A246B638BC8}">
      <dsp:nvSpPr>
        <dsp:cNvPr id="0" name=""/>
        <dsp:cNvSpPr/>
      </dsp:nvSpPr>
      <dsp:spPr>
        <a:xfrm>
          <a:off x="3104946" y="950500"/>
          <a:ext cx="854792" cy="427396"/>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Strategic Asset Manager</a:t>
          </a:r>
          <a:endParaRPr lang="en-GB" sz="900" kern="1200"/>
        </a:p>
      </dsp:txBody>
      <dsp:txXfrm>
        <a:off x="3104946" y="950500"/>
        <a:ext cx="854792" cy="4273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04505a-3ee0-46cc-aec6-fc2c6e5fc8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2BF65D6041B4CA01E4854258702E3" ma:contentTypeVersion="17" ma:contentTypeDescription="Create a new document." ma:contentTypeScope="" ma:versionID="ef5e066781ca3e1605e4c9a77b909446">
  <xsd:schema xmlns:xsd="http://www.w3.org/2001/XMLSchema" xmlns:xs="http://www.w3.org/2001/XMLSchema" xmlns:p="http://schemas.microsoft.com/office/2006/metadata/properties" xmlns:ns2="5404505a-3ee0-46cc-aec6-fc2c6e5fc8d8" xmlns:ns3="e1962264-c725-4c58-9942-71541301cbdd" targetNamespace="http://schemas.microsoft.com/office/2006/metadata/properties" ma:root="true" ma:fieldsID="562b4e88e74a187ff96c4f683f9873ed" ns2:_="" ns3:_="">
    <xsd:import namespace="5404505a-3ee0-46cc-aec6-fc2c6e5fc8d8"/>
    <xsd:import namespace="e1962264-c725-4c58-9942-71541301cb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4505a-3ee0-46cc-aec6-fc2c6e5fc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62264-c725-4c58-9942-71541301cb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 ds:uri="5404505a-3ee0-46cc-aec6-fc2c6e5fc8d8"/>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AC976301-DE4F-4DB7-98C5-2322E1F11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4505a-3ee0-46cc-aec6-fc2c6e5fc8d8"/>
    <ds:schemaRef ds:uri="e1962264-c725-4c58-9942-71541301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9967</Characters>
  <Application>Microsoft Office Word</Application>
  <DocSecurity>0</DocSecurity>
  <Lines>83</Lines>
  <Paragraphs>23</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Ball, Laura</cp:lastModifiedBy>
  <cp:revision>2</cp:revision>
  <cp:lastPrinted>2014-08-21T13:59:00Z</cp:lastPrinted>
  <dcterms:created xsi:type="dcterms:W3CDTF">2025-08-13T12:40:00Z</dcterms:created>
  <dcterms:modified xsi:type="dcterms:W3CDTF">2025-08-13T12:40:00Z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0x0101009272BF65D6041B4CA01E4854258702E3</vt:lpwstr>
  </property>
  <property fmtid="{D5CDD505-2E9C-101B-9397-08002B2CF9AE}" pid="13" name="MediaServiceImageTags">
    <vt:lpwstr/>
  </property>
</Properties>
</file>