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5AE08BDD" w:rsidR="00685BE2" w:rsidRPr="00707D60" w:rsidRDefault="00354E9D" w:rsidP="00D42667">
                            <w:pPr>
                              <w:jc w:val="left"/>
                              <w:rPr>
                                <w:b/>
                                <w:bCs/>
                                <w:color w:val="FFFFFF" w:themeColor="background1"/>
                                <w:sz w:val="40"/>
                                <w:szCs w:val="40"/>
                                <w:lang w:val="en-AU"/>
                              </w:rPr>
                            </w:pPr>
                            <w:r>
                              <w:rPr>
                                <w:b/>
                                <w:bCs/>
                                <w:color w:val="FFFFFF" w:themeColor="background1"/>
                                <w:sz w:val="44"/>
                                <w:szCs w:val="44"/>
                                <w:lang w:val="en-GB"/>
                              </w:rPr>
                              <w:t xml:space="preserve">Community Advisory Board Member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5AE08BDD" w:rsidR="00685BE2" w:rsidRPr="00707D60" w:rsidRDefault="00354E9D" w:rsidP="00D42667">
                      <w:pPr>
                        <w:jc w:val="left"/>
                        <w:rPr>
                          <w:b/>
                          <w:bCs/>
                          <w:color w:val="FFFFFF" w:themeColor="background1"/>
                          <w:sz w:val="40"/>
                          <w:szCs w:val="40"/>
                          <w:lang w:val="en-AU"/>
                        </w:rPr>
                      </w:pPr>
                      <w:r>
                        <w:rPr>
                          <w:b/>
                          <w:bCs/>
                          <w:color w:val="FFFFFF" w:themeColor="background1"/>
                          <w:sz w:val="44"/>
                          <w:szCs w:val="44"/>
                          <w:lang w:val="en-GB"/>
                        </w:rPr>
                        <w:t xml:space="preserve">Community Advisory Board Member </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403DCDFD" w:rsidR="00800A60" w:rsidRPr="00A824A9" w:rsidRDefault="00B07217" w:rsidP="00800A60">
            <w:pPr>
              <w:spacing w:before="20" w:after="20"/>
              <w:jc w:val="left"/>
              <w:rPr>
                <w:rFonts w:cs="Arial"/>
                <w:color w:val="000000" w:themeColor="text1"/>
                <w:szCs w:val="20"/>
              </w:rPr>
            </w:pPr>
            <w:r>
              <w:rPr>
                <w:rFonts w:cs="Arial"/>
                <w:color w:val="000000" w:themeColor="text1"/>
                <w:szCs w:val="20"/>
              </w:rPr>
              <w:t xml:space="preserve">Stop Hunger Foundation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500A7A29" w:rsidR="00800A60" w:rsidRPr="00A824A9" w:rsidRDefault="00B07217" w:rsidP="00800A60">
            <w:pPr>
              <w:spacing w:before="20" w:after="20"/>
              <w:jc w:val="left"/>
              <w:rPr>
                <w:rFonts w:cs="Arial"/>
                <w:color w:val="000000" w:themeColor="text1"/>
                <w:szCs w:val="20"/>
                <w:lang w:val="en-GB"/>
              </w:rPr>
            </w:pPr>
            <w:r>
              <w:rPr>
                <w:rFonts w:cs="Arial"/>
                <w:sz w:val="18"/>
                <w:szCs w:val="18"/>
              </w:rPr>
              <w:t xml:space="preserve">Community Advisory Board Member </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6F132E8C" w:rsidR="00800A60" w:rsidRPr="00A824A9" w:rsidRDefault="00D42667"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34ABF5DD" w:rsidR="00D42667" w:rsidRPr="00A824A9" w:rsidRDefault="00D42667"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110EE58B" w:rsidR="00800A60" w:rsidRDefault="00B07217" w:rsidP="00800A60">
            <w:pPr>
              <w:spacing w:before="20" w:after="20"/>
              <w:jc w:val="left"/>
              <w:rPr>
                <w:rFonts w:cs="Arial"/>
                <w:color w:val="000000" w:themeColor="text1"/>
                <w:szCs w:val="20"/>
              </w:rPr>
            </w:pPr>
            <w:r>
              <w:rPr>
                <w:rFonts w:cs="Arial"/>
                <w:color w:val="000000" w:themeColor="text1"/>
                <w:szCs w:val="20"/>
              </w:rPr>
              <w:t>Stop Hunger Board of Trustees</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779E8BB" w:rsidR="00800A60" w:rsidRDefault="00D42667"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7453249" w:rsidR="00800A60" w:rsidRDefault="00B07217" w:rsidP="00800A60">
            <w:pPr>
              <w:spacing w:before="20" w:after="20"/>
              <w:jc w:val="left"/>
              <w:rPr>
                <w:rFonts w:cs="Arial"/>
                <w:color w:val="000000" w:themeColor="text1"/>
                <w:szCs w:val="20"/>
              </w:rPr>
            </w:pPr>
            <w:r>
              <w:rPr>
                <w:rFonts w:cs="Arial"/>
                <w:color w:val="000000" w:themeColor="text1"/>
                <w:szCs w:val="20"/>
              </w:rPr>
              <w:t>N/A</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282F3142" w14:textId="0FEB72CB" w:rsidR="00AF0CE6" w:rsidRPr="00D42667" w:rsidRDefault="007F31F4" w:rsidP="00D42667">
            <w:pPr>
              <w:jc w:val="left"/>
              <w:rPr>
                <w:rFonts w:cs="Arial"/>
                <w:color w:val="000000" w:themeColor="text1"/>
                <w:szCs w:val="20"/>
              </w:rPr>
            </w:pPr>
            <w:r w:rsidRPr="007F31F4">
              <w:rPr>
                <w:rFonts w:cs="Arial"/>
                <w:color w:val="000000" w:themeColor="text1"/>
                <w:szCs w:val="20"/>
                <w:lang w:val="en-GB"/>
              </w:rPr>
              <w:t>To provide independent, community</w:t>
            </w:r>
            <w:r w:rsidRPr="007F31F4">
              <w:rPr>
                <w:rFonts w:ascii="Cambria Math" w:hAnsi="Cambria Math" w:cs="Cambria Math"/>
                <w:color w:val="000000" w:themeColor="text1"/>
                <w:szCs w:val="20"/>
                <w:lang w:val="en-GB"/>
              </w:rPr>
              <w:t>‑</w:t>
            </w:r>
            <w:r w:rsidRPr="007F31F4">
              <w:rPr>
                <w:rFonts w:cs="Arial"/>
                <w:color w:val="000000" w:themeColor="text1"/>
                <w:szCs w:val="20"/>
                <w:lang w:val="en-GB"/>
              </w:rPr>
              <w:t>rooted and cross</w:t>
            </w:r>
            <w:r w:rsidRPr="007F31F4">
              <w:rPr>
                <w:rFonts w:ascii="Cambria Math" w:hAnsi="Cambria Math" w:cs="Cambria Math"/>
                <w:color w:val="000000" w:themeColor="text1"/>
                <w:szCs w:val="20"/>
                <w:lang w:val="en-GB"/>
              </w:rPr>
              <w:t>‑</w:t>
            </w:r>
            <w:r w:rsidRPr="007F31F4">
              <w:rPr>
                <w:rFonts w:cs="Arial"/>
                <w:color w:val="000000" w:themeColor="text1"/>
                <w:szCs w:val="20"/>
                <w:lang w:val="en-GB"/>
              </w:rPr>
              <w:t>sector insight that strengthens Stop Hunger’s strategy, ensuring the Foundation remains aligned to real community needs. The role brings informed challenge, identifies risks and opportunities, and supports equitable, community</w:t>
            </w:r>
            <w:r w:rsidRPr="007F31F4">
              <w:rPr>
                <w:rFonts w:ascii="Cambria Math" w:hAnsi="Cambria Math" w:cs="Cambria Math"/>
                <w:color w:val="000000" w:themeColor="text1"/>
                <w:szCs w:val="20"/>
                <w:lang w:val="en-GB"/>
              </w:rPr>
              <w:t>‑</w:t>
            </w:r>
            <w:r w:rsidRPr="007F31F4">
              <w:rPr>
                <w:rFonts w:cs="Arial"/>
                <w:color w:val="000000" w:themeColor="text1"/>
                <w:szCs w:val="20"/>
                <w:lang w:val="en-GB"/>
              </w:rPr>
              <w:t>led approaches that enhance programme design, partnerships, and governance decision</w:t>
            </w:r>
            <w:r w:rsidRPr="007F31F4">
              <w:rPr>
                <w:rFonts w:ascii="Cambria Math" w:hAnsi="Cambria Math" w:cs="Cambria Math"/>
                <w:color w:val="000000" w:themeColor="text1"/>
                <w:szCs w:val="20"/>
                <w:lang w:val="en-GB"/>
              </w:rPr>
              <w:t>‑</w:t>
            </w:r>
            <w:r w:rsidRPr="007F31F4">
              <w:rPr>
                <w:rFonts w:cs="Arial"/>
                <w:color w:val="000000" w:themeColor="text1"/>
                <w:szCs w:val="20"/>
                <w:lang w:val="en-GB"/>
              </w:rPr>
              <w:t>making</w:t>
            </w:r>
            <w:r>
              <w:rPr>
                <w:rFonts w:cs="Arial"/>
                <w:color w:val="000000" w:themeColor="text1"/>
                <w:szCs w:val="20"/>
                <w:lang w:val="en-GB"/>
              </w:rPr>
              <w:t xml:space="preserve"> in the best interest of the </w:t>
            </w:r>
            <w:proofErr w:type="spellStart"/>
            <w:r>
              <w:rPr>
                <w:rFonts w:cs="Arial"/>
                <w:color w:val="000000" w:themeColor="text1"/>
                <w:szCs w:val="20"/>
                <w:lang w:val="en-GB"/>
              </w:rPr>
              <w:t>Foundaion</w:t>
            </w:r>
            <w:proofErr w:type="spellEnd"/>
            <w:r>
              <w:rPr>
                <w:rFonts w:cs="Arial"/>
                <w:color w:val="000000" w:themeColor="text1"/>
                <w:szCs w:val="20"/>
                <w:lang w:val="en-GB"/>
              </w:rPr>
              <w:t>.</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14811FD4" w14:textId="77777777" w:rsidR="001D7BE9" w:rsidRPr="001D7BE9" w:rsidRDefault="001D7BE9" w:rsidP="001D7BE9">
            <w:pPr>
              <w:pStyle w:val="Puces4"/>
              <w:rPr>
                <w:color w:val="000000" w:themeColor="text1"/>
                <w:szCs w:val="20"/>
              </w:rPr>
            </w:pPr>
            <w:r w:rsidRPr="001D7BE9">
              <w:rPr>
                <w:color w:val="000000" w:themeColor="text1"/>
                <w:szCs w:val="20"/>
              </w:rPr>
              <w:t>Provide strategic advice grounded in lived experience, sector knowledge, and community realities.</w:t>
            </w:r>
          </w:p>
          <w:p w14:paraId="38AED56B" w14:textId="77777777" w:rsidR="001D7BE9" w:rsidRPr="001D7BE9" w:rsidRDefault="001D7BE9" w:rsidP="001D7BE9">
            <w:pPr>
              <w:pStyle w:val="Puces4"/>
              <w:rPr>
                <w:color w:val="000000" w:themeColor="text1"/>
                <w:szCs w:val="20"/>
              </w:rPr>
            </w:pPr>
            <w:r w:rsidRPr="001D7BE9">
              <w:rPr>
                <w:color w:val="000000" w:themeColor="text1"/>
                <w:szCs w:val="20"/>
              </w:rPr>
              <w:t>Strengthen the Foundation’s understanding of local needs, regional variations, and frontline challenges.</w:t>
            </w:r>
          </w:p>
          <w:p w14:paraId="263E35B3" w14:textId="77777777" w:rsidR="001D7BE9" w:rsidRPr="001D7BE9" w:rsidRDefault="001D7BE9" w:rsidP="001D7BE9">
            <w:pPr>
              <w:pStyle w:val="Puces4"/>
              <w:rPr>
                <w:color w:val="000000" w:themeColor="text1"/>
                <w:szCs w:val="20"/>
              </w:rPr>
            </w:pPr>
            <w:r w:rsidRPr="001D7BE9">
              <w:rPr>
                <w:color w:val="000000" w:themeColor="text1"/>
                <w:szCs w:val="20"/>
              </w:rPr>
              <w:t>Identify risks, opportunities, and gaps relevant to Stop Hunger’s mission and strategic direction.</w:t>
            </w:r>
          </w:p>
          <w:p w14:paraId="3B9EE6F9" w14:textId="77777777" w:rsidR="001D7BE9" w:rsidRPr="001D7BE9" w:rsidRDefault="001D7BE9" w:rsidP="001D7BE9">
            <w:pPr>
              <w:pStyle w:val="Puces4"/>
              <w:rPr>
                <w:color w:val="000000" w:themeColor="text1"/>
                <w:szCs w:val="20"/>
              </w:rPr>
            </w:pPr>
            <w:r w:rsidRPr="001D7BE9">
              <w:rPr>
                <w:color w:val="000000" w:themeColor="text1"/>
                <w:szCs w:val="20"/>
              </w:rPr>
              <w:t>Champion equitable, community</w:t>
            </w:r>
            <w:r w:rsidRPr="001D7BE9">
              <w:rPr>
                <w:rFonts w:ascii="Cambria Math" w:hAnsi="Cambria Math" w:cs="Cambria Math"/>
                <w:color w:val="000000" w:themeColor="text1"/>
                <w:szCs w:val="20"/>
              </w:rPr>
              <w:t>‑</w:t>
            </w:r>
            <w:r w:rsidRPr="001D7BE9">
              <w:rPr>
                <w:color w:val="000000" w:themeColor="text1"/>
                <w:szCs w:val="20"/>
              </w:rPr>
              <w:t>led approaches to programme development and partnership design.</w:t>
            </w:r>
          </w:p>
          <w:p w14:paraId="5A0FBB38" w14:textId="77777777" w:rsidR="001D7BE9" w:rsidRPr="001D7BE9" w:rsidRDefault="001D7BE9" w:rsidP="001D7BE9">
            <w:pPr>
              <w:pStyle w:val="Puces4"/>
              <w:rPr>
                <w:color w:val="000000" w:themeColor="text1"/>
                <w:szCs w:val="20"/>
              </w:rPr>
            </w:pPr>
            <w:r w:rsidRPr="001D7BE9">
              <w:rPr>
                <w:color w:val="000000" w:themeColor="text1"/>
                <w:szCs w:val="20"/>
              </w:rPr>
              <w:t>Support alignment between the Foundation and its wider ecosystem, including partners, clients, donors, volunteers, and internal colleagues.</w:t>
            </w:r>
          </w:p>
          <w:p w14:paraId="288E283D" w14:textId="77777777" w:rsidR="001D7BE9" w:rsidRPr="001D7BE9" w:rsidRDefault="001D7BE9" w:rsidP="001D7BE9">
            <w:pPr>
              <w:pStyle w:val="Puces4"/>
              <w:rPr>
                <w:color w:val="000000" w:themeColor="text1"/>
                <w:szCs w:val="20"/>
              </w:rPr>
            </w:pPr>
            <w:r w:rsidRPr="001D7BE9">
              <w:rPr>
                <w:color w:val="000000" w:themeColor="text1"/>
                <w:szCs w:val="20"/>
              </w:rPr>
              <w:t>Contribute independent, constructive challenge to strategic discussions and decision</w:t>
            </w:r>
            <w:r w:rsidRPr="001D7BE9">
              <w:rPr>
                <w:rFonts w:ascii="Cambria Math" w:hAnsi="Cambria Math" w:cs="Cambria Math"/>
                <w:color w:val="000000" w:themeColor="text1"/>
                <w:szCs w:val="20"/>
              </w:rPr>
              <w:t>‑</w:t>
            </w:r>
            <w:r w:rsidRPr="001D7BE9">
              <w:rPr>
                <w:color w:val="000000" w:themeColor="text1"/>
                <w:szCs w:val="20"/>
              </w:rPr>
              <w:t>making processes.</w:t>
            </w:r>
          </w:p>
          <w:p w14:paraId="70AA7E47" w14:textId="77777777" w:rsidR="001D7BE9" w:rsidRPr="001D7BE9" w:rsidRDefault="001D7BE9" w:rsidP="001D7BE9">
            <w:pPr>
              <w:pStyle w:val="Puces4"/>
              <w:rPr>
                <w:color w:val="000000" w:themeColor="text1"/>
                <w:szCs w:val="20"/>
              </w:rPr>
            </w:pPr>
            <w:r w:rsidRPr="001D7BE9">
              <w:rPr>
                <w:color w:val="000000" w:themeColor="text1"/>
                <w:szCs w:val="20"/>
              </w:rPr>
              <w:t>Share insights into funder priorities, client perspectives, partnership value, and frontline community contexts (depending on member type).</w:t>
            </w:r>
          </w:p>
          <w:p w14:paraId="57BB6CFE" w14:textId="77777777" w:rsidR="001D7BE9" w:rsidRPr="001D7BE9" w:rsidRDefault="001D7BE9" w:rsidP="001D7BE9">
            <w:pPr>
              <w:pStyle w:val="Puces4"/>
              <w:rPr>
                <w:color w:val="000000" w:themeColor="text1"/>
                <w:szCs w:val="20"/>
              </w:rPr>
            </w:pPr>
            <w:r w:rsidRPr="001D7BE9">
              <w:rPr>
                <w:color w:val="000000" w:themeColor="text1"/>
                <w:szCs w:val="20"/>
              </w:rPr>
              <w:t>Maintain confidentiality, uphold governance integrity, and declare any actual or perceived conflicts of interest.</w:t>
            </w:r>
          </w:p>
          <w:p w14:paraId="4C512836" w14:textId="77777777" w:rsidR="001D7BE9" w:rsidRPr="001D7BE9" w:rsidRDefault="001D7BE9" w:rsidP="001D7BE9">
            <w:pPr>
              <w:pStyle w:val="Puces4"/>
              <w:rPr>
                <w:color w:val="000000" w:themeColor="text1"/>
                <w:szCs w:val="20"/>
              </w:rPr>
            </w:pPr>
            <w:r w:rsidRPr="001D7BE9">
              <w:rPr>
                <w:color w:val="000000" w:themeColor="text1"/>
                <w:szCs w:val="20"/>
              </w:rPr>
              <w:t>Prepare for meetings and actively support follow</w:t>
            </w:r>
            <w:r w:rsidRPr="001D7BE9">
              <w:rPr>
                <w:rFonts w:ascii="Cambria Math" w:hAnsi="Cambria Math" w:cs="Cambria Math"/>
                <w:color w:val="000000" w:themeColor="text1"/>
                <w:szCs w:val="20"/>
              </w:rPr>
              <w:t>‑</w:t>
            </w:r>
            <w:r w:rsidRPr="001D7BE9">
              <w:rPr>
                <w:color w:val="000000" w:themeColor="text1"/>
                <w:szCs w:val="20"/>
              </w:rPr>
              <w:t>through on agreed recommendations and actions.</w:t>
            </w:r>
          </w:p>
          <w:p w14:paraId="60807496" w14:textId="77777777" w:rsidR="001D7BE9" w:rsidRPr="001D7BE9" w:rsidRDefault="001D7BE9" w:rsidP="001D7BE9">
            <w:pPr>
              <w:pStyle w:val="Puces4"/>
              <w:rPr>
                <w:color w:val="000000" w:themeColor="text1"/>
                <w:szCs w:val="20"/>
              </w:rPr>
            </w:pPr>
            <w:r w:rsidRPr="001D7BE9">
              <w:rPr>
                <w:color w:val="000000" w:themeColor="text1"/>
                <w:szCs w:val="20"/>
              </w:rPr>
              <w:t>(For Chair role) Lead the group, maintain independence, guide strategic focus, and steer discussions.</w:t>
            </w:r>
          </w:p>
          <w:p w14:paraId="032D9DFC" w14:textId="3B057795" w:rsidR="008260DB" w:rsidRDefault="001D7BE9" w:rsidP="001D7BE9">
            <w:pPr>
              <w:pStyle w:val="Puces4"/>
              <w:rPr>
                <w:color w:val="000000" w:themeColor="text1"/>
                <w:szCs w:val="20"/>
              </w:rPr>
            </w:pPr>
            <w:r w:rsidRPr="001D7BE9">
              <w:rPr>
                <w:color w:val="000000" w:themeColor="text1"/>
                <w:szCs w:val="20"/>
              </w:rPr>
              <w:t>(For Trustee Member) Ensure insights inform governance considerations and Board of Trustees decisions.</w:t>
            </w:r>
          </w:p>
          <w:p w14:paraId="06F4AD77" w14:textId="1A463BDB" w:rsidR="005160A7" w:rsidRPr="008260DB" w:rsidRDefault="005160A7" w:rsidP="005160A7">
            <w:pPr>
              <w:pStyle w:val="Puces4"/>
              <w:numPr>
                <w:ilvl w:val="0"/>
                <w:numId w:val="0"/>
              </w:numPr>
              <w:ind w:left="341" w:hanging="171"/>
              <w:rPr>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F93211" w14:paraId="0529D246" w14:textId="77777777" w:rsidTr="00A86A37">
        <w:tc>
          <w:tcPr>
            <w:tcW w:w="10375" w:type="dxa"/>
          </w:tcPr>
          <w:p w14:paraId="66008FB0" w14:textId="77777777" w:rsidR="008260DB" w:rsidRPr="00F93211" w:rsidRDefault="008260DB" w:rsidP="00EF0A4B">
            <w:pPr>
              <w:pStyle w:val="ListParagraph"/>
              <w:ind w:left="360"/>
              <w:jc w:val="left"/>
              <w:rPr>
                <w:rFonts w:cs="Arial"/>
                <w:color w:val="000000" w:themeColor="text1"/>
                <w:szCs w:val="20"/>
              </w:rPr>
            </w:pPr>
          </w:p>
          <w:p w14:paraId="4EBED087" w14:textId="77777777" w:rsidR="00F93211" w:rsidRPr="00F93211" w:rsidRDefault="00F93211" w:rsidP="00F93211">
            <w:pPr>
              <w:pStyle w:val="ListParagraph"/>
              <w:numPr>
                <w:ilvl w:val="0"/>
                <w:numId w:val="22"/>
              </w:numPr>
              <w:rPr>
                <w:rFonts w:cs="Arial"/>
                <w:color w:val="000000" w:themeColor="text1"/>
                <w:szCs w:val="20"/>
                <w:lang w:val="en-GB"/>
              </w:rPr>
            </w:pPr>
            <w:r w:rsidRPr="00F93211">
              <w:rPr>
                <w:rFonts w:cs="Arial"/>
                <w:color w:val="000000" w:themeColor="text1"/>
                <w:szCs w:val="20"/>
                <w:lang w:val="en-GB"/>
              </w:rPr>
              <w:t>Navigating complex and varied community needs across different regions of the UK &amp; Ireland, ensuring insights remain rooted in real frontline experiences.</w:t>
            </w:r>
          </w:p>
          <w:p w14:paraId="0952AD6D" w14:textId="77777777" w:rsidR="00F93211" w:rsidRPr="00F93211" w:rsidRDefault="00F93211" w:rsidP="00F93211">
            <w:pPr>
              <w:pStyle w:val="ListParagraph"/>
              <w:numPr>
                <w:ilvl w:val="0"/>
                <w:numId w:val="22"/>
              </w:numPr>
              <w:rPr>
                <w:rFonts w:cs="Arial"/>
                <w:color w:val="000000" w:themeColor="text1"/>
                <w:szCs w:val="20"/>
                <w:lang w:val="en-GB"/>
              </w:rPr>
            </w:pPr>
            <w:r w:rsidRPr="00F93211">
              <w:rPr>
                <w:rFonts w:cs="Arial"/>
                <w:color w:val="000000" w:themeColor="text1"/>
                <w:szCs w:val="20"/>
                <w:lang w:val="en-GB"/>
              </w:rPr>
              <w:t>Balancing diverse perspectives from charity partners, donors, clients, colleagues, and trustees while maintaining independence and providing constructive challenge.</w:t>
            </w:r>
          </w:p>
          <w:p w14:paraId="43D3F508" w14:textId="77777777" w:rsidR="00F93211" w:rsidRPr="00F93211" w:rsidRDefault="00F93211" w:rsidP="00F93211">
            <w:pPr>
              <w:pStyle w:val="ListParagraph"/>
              <w:numPr>
                <w:ilvl w:val="0"/>
                <w:numId w:val="22"/>
              </w:numPr>
              <w:rPr>
                <w:rFonts w:cs="Arial"/>
                <w:color w:val="000000" w:themeColor="text1"/>
                <w:szCs w:val="20"/>
                <w:lang w:val="en-GB"/>
              </w:rPr>
            </w:pPr>
            <w:r w:rsidRPr="00F93211">
              <w:rPr>
                <w:rFonts w:cs="Arial"/>
                <w:color w:val="000000" w:themeColor="text1"/>
                <w:szCs w:val="20"/>
                <w:lang w:val="en-GB"/>
              </w:rPr>
              <w:t>Identifying risks, gaps, and opportunities that may impact Stop Hunger’s mission in a rapidly changing social sector landscape.</w:t>
            </w:r>
          </w:p>
          <w:p w14:paraId="356C03DB" w14:textId="77777777" w:rsidR="00F93211" w:rsidRPr="00F93211" w:rsidRDefault="00F93211" w:rsidP="00F93211">
            <w:pPr>
              <w:pStyle w:val="ListParagraph"/>
              <w:numPr>
                <w:ilvl w:val="0"/>
                <w:numId w:val="22"/>
              </w:numPr>
              <w:rPr>
                <w:rFonts w:cs="Arial"/>
                <w:color w:val="000000" w:themeColor="text1"/>
                <w:szCs w:val="20"/>
                <w:lang w:val="en-GB"/>
              </w:rPr>
            </w:pPr>
            <w:r w:rsidRPr="00F93211">
              <w:rPr>
                <w:rFonts w:cs="Arial"/>
                <w:color w:val="000000" w:themeColor="text1"/>
                <w:szCs w:val="20"/>
                <w:lang w:val="en-GB"/>
              </w:rPr>
              <w:t>Ensuring all advice and recommendations are aligned with equity, inclusion, and community</w:t>
            </w:r>
            <w:r w:rsidRPr="00F93211">
              <w:rPr>
                <w:rFonts w:ascii="Cambria Math" w:hAnsi="Cambria Math" w:cs="Cambria Math"/>
                <w:color w:val="000000" w:themeColor="text1"/>
                <w:szCs w:val="20"/>
                <w:lang w:val="en-GB"/>
              </w:rPr>
              <w:t>‑</w:t>
            </w:r>
            <w:r w:rsidRPr="00F93211">
              <w:rPr>
                <w:rFonts w:cs="Arial"/>
                <w:color w:val="000000" w:themeColor="text1"/>
                <w:szCs w:val="20"/>
                <w:lang w:val="en-GB"/>
              </w:rPr>
              <w:t>led principles, even when this requires challenging existing approaches.</w:t>
            </w:r>
          </w:p>
          <w:p w14:paraId="0BDCBB22" w14:textId="77777777" w:rsidR="00F93211" w:rsidRPr="00F93211" w:rsidRDefault="00F93211" w:rsidP="00F93211">
            <w:pPr>
              <w:pStyle w:val="ListParagraph"/>
              <w:numPr>
                <w:ilvl w:val="0"/>
                <w:numId w:val="22"/>
              </w:numPr>
              <w:rPr>
                <w:rFonts w:cs="Arial"/>
                <w:color w:val="000000" w:themeColor="text1"/>
                <w:szCs w:val="20"/>
                <w:lang w:val="en-GB"/>
              </w:rPr>
            </w:pPr>
            <w:r w:rsidRPr="00F93211">
              <w:rPr>
                <w:rFonts w:cs="Arial"/>
                <w:color w:val="000000" w:themeColor="text1"/>
                <w:szCs w:val="20"/>
                <w:lang w:val="en-GB"/>
              </w:rPr>
              <w:t>Operating within governance expectations, including maintaining confidentiality, declaring conflicts of interest, and upholding Stop Hunger’s values and charitable purpose.</w:t>
            </w:r>
          </w:p>
          <w:p w14:paraId="2E03C146" w14:textId="77777777" w:rsidR="00F93211" w:rsidRPr="00F93211" w:rsidRDefault="00F93211" w:rsidP="00F93211">
            <w:pPr>
              <w:pStyle w:val="ListParagraph"/>
              <w:numPr>
                <w:ilvl w:val="0"/>
                <w:numId w:val="22"/>
              </w:numPr>
              <w:rPr>
                <w:rFonts w:cs="Arial"/>
                <w:color w:val="000000" w:themeColor="text1"/>
                <w:szCs w:val="20"/>
                <w:lang w:val="en-GB"/>
              </w:rPr>
            </w:pPr>
            <w:r w:rsidRPr="00F93211">
              <w:rPr>
                <w:rFonts w:cs="Arial"/>
                <w:color w:val="000000" w:themeColor="text1"/>
                <w:szCs w:val="20"/>
                <w:lang w:val="en-GB"/>
              </w:rPr>
              <w:t>Translating insights from external ecosystems (charity sector, communities, funders, partner organisations) into actionable recommendations meaningful to the Board of Trustees.</w:t>
            </w:r>
          </w:p>
          <w:p w14:paraId="611A5D90" w14:textId="77777777" w:rsidR="00F93211" w:rsidRPr="00F93211" w:rsidRDefault="00F93211" w:rsidP="00F93211">
            <w:pPr>
              <w:pStyle w:val="ListParagraph"/>
              <w:numPr>
                <w:ilvl w:val="0"/>
                <w:numId w:val="22"/>
              </w:numPr>
              <w:rPr>
                <w:rFonts w:cs="Arial"/>
                <w:color w:val="000000" w:themeColor="text1"/>
                <w:szCs w:val="20"/>
                <w:lang w:val="en-GB"/>
              </w:rPr>
            </w:pPr>
            <w:r w:rsidRPr="00F93211">
              <w:rPr>
                <w:rFonts w:cs="Arial"/>
                <w:color w:val="000000" w:themeColor="text1"/>
                <w:szCs w:val="20"/>
                <w:lang w:val="en-GB"/>
              </w:rPr>
              <w:t>Managing constraints related to time commitment (limited meetings per year) while still providing high</w:t>
            </w:r>
            <w:r w:rsidRPr="00F93211">
              <w:rPr>
                <w:rFonts w:ascii="Cambria Math" w:hAnsi="Cambria Math" w:cs="Cambria Math"/>
                <w:color w:val="000000" w:themeColor="text1"/>
                <w:szCs w:val="20"/>
                <w:lang w:val="en-GB"/>
              </w:rPr>
              <w:t>‑</w:t>
            </w:r>
            <w:r w:rsidRPr="00F93211">
              <w:rPr>
                <w:rFonts w:cs="Arial"/>
                <w:color w:val="000000" w:themeColor="text1"/>
                <w:szCs w:val="20"/>
                <w:lang w:val="en-GB"/>
              </w:rPr>
              <w:t>quality preparation, insight, and follow</w:t>
            </w:r>
            <w:r w:rsidRPr="00F93211">
              <w:rPr>
                <w:rFonts w:ascii="Cambria Math" w:hAnsi="Cambria Math" w:cs="Cambria Math"/>
                <w:color w:val="000000" w:themeColor="text1"/>
                <w:szCs w:val="20"/>
                <w:lang w:val="en-GB"/>
              </w:rPr>
              <w:t>‑</w:t>
            </w:r>
            <w:r w:rsidRPr="00F93211">
              <w:rPr>
                <w:rFonts w:cs="Arial"/>
                <w:color w:val="000000" w:themeColor="text1"/>
                <w:szCs w:val="20"/>
                <w:lang w:val="en-GB"/>
              </w:rPr>
              <w:t>through.</w:t>
            </w:r>
          </w:p>
          <w:p w14:paraId="67355C7B" w14:textId="4B8453EC" w:rsidR="000B4AA1" w:rsidRPr="00F93211" w:rsidRDefault="00F93211" w:rsidP="00F93211">
            <w:pPr>
              <w:pStyle w:val="ListParagraph"/>
              <w:numPr>
                <w:ilvl w:val="0"/>
                <w:numId w:val="22"/>
              </w:numPr>
              <w:jc w:val="left"/>
              <w:rPr>
                <w:rFonts w:cs="Arial"/>
                <w:color w:val="000000" w:themeColor="text1"/>
                <w:szCs w:val="20"/>
              </w:rPr>
            </w:pPr>
            <w:r w:rsidRPr="00F93211">
              <w:rPr>
                <w:rFonts w:cs="Arial"/>
                <w:color w:val="000000" w:themeColor="text1"/>
                <w:szCs w:val="20"/>
                <w:lang w:val="en-GB"/>
              </w:rPr>
              <w:t>Ensuring alignment between Stop Hunger’s strategic priorities and the wider ecosystem of partners, clients, donors, volunteers, and local community organisations.</w:t>
            </w:r>
          </w:p>
        </w:tc>
      </w:tr>
    </w:tbl>
    <w:p w14:paraId="57FE33AE" w14:textId="77777777" w:rsidR="002B6B51" w:rsidRPr="00F9321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7097F3AE" w14:textId="77777777" w:rsidR="00D42667" w:rsidRPr="00C679ED" w:rsidRDefault="00D42667" w:rsidP="00D42667">
            <w:pPr>
              <w:pStyle w:val="ListParagraph"/>
              <w:ind w:left="360"/>
              <w:jc w:val="left"/>
              <w:rPr>
                <w:rFonts w:cs="Arial"/>
                <w:bCs/>
                <w:color w:val="000000" w:themeColor="text1"/>
                <w:szCs w:val="20"/>
              </w:rPr>
            </w:pPr>
          </w:p>
          <w:p w14:paraId="7279926D" w14:textId="77777777" w:rsidR="00C679ED" w:rsidRPr="00C679ED" w:rsidRDefault="00C679ED" w:rsidP="00C679ED">
            <w:pPr>
              <w:pStyle w:val="Puces4"/>
            </w:pPr>
            <w:r w:rsidRPr="00C679ED">
              <w:t>Provide high</w:t>
            </w:r>
            <w:r w:rsidRPr="00C679ED">
              <w:rPr>
                <w:rFonts w:ascii="Cambria Math" w:hAnsi="Cambria Math" w:cs="Cambria Math"/>
              </w:rPr>
              <w:t>‑</w:t>
            </w:r>
            <w:r w:rsidRPr="00C679ED">
              <w:t>quality strategic insight that strengthens Stop Hunger’s strategy and informs Board of Trustees decision</w:t>
            </w:r>
            <w:r w:rsidRPr="00C679ED">
              <w:rPr>
                <w:rFonts w:ascii="Cambria Math" w:hAnsi="Cambria Math" w:cs="Cambria Math"/>
              </w:rPr>
              <w:t>‑</w:t>
            </w:r>
            <w:r w:rsidRPr="00C679ED">
              <w:t>making.</w:t>
            </w:r>
          </w:p>
          <w:p w14:paraId="3CF35BC1" w14:textId="77777777" w:rsidR="00C679ED" w:rsidRPr="00C679ED" w:rsidRDefault="00C679ED" w:rsidP="00C679ED">
            <w:pPr>
              <w:pStyle w:val="Puces4"/>
            </w:pPr>
            <w:r w:rsidRPr="00C679ED">
              <w:t>Enhance the organisation’s understanding of real community needs, enabling more effective and equitable programme and partnership design.</w:t>
            </w:r>
          </w:p>
          <w:p w14:paraId="5F13D434" w14:textId="77777777" w:rsidR="00C679ED" w:rsidRPr="00C679ED" w:rsidRDefault="00C679ED" w:rsidP="00C679ED">
            <w:pPr>
              <w:pStyle w:val="Puces4"/>
            </w:pPr>
            <w:r w:rsidRPr="00C679ED">
              <w:t>Identify and articulate key risks, opportunities, and gaps that influence Stop Hunger’s mission and long</w:t>
            </w:r>
            <w:r w:rsidRPr="00C679ED">
              <w:rPr>
                <w:rFonts w:ascii="Cambria Math" w:hAnsi="Cambria Math" w:cs="Cambria Math"/>
              </w:rPr>
              <w:t>‑</w:t>
            </w:r>
            <w:r w:rsidRPr="00C679ED">
              <w:t>term impact.</w:t>
            </w:r>
          </w:p>
          <w:p w14:paraId="16C0A79C" w14:textId="77777777" w:rsidR="00C679ED" w:rsidRPr="00C679ED" w:rsidRDefault="00C679ED" w:rsidP="00C679ED">
            <w:pPr>
              <w:pStyle w:val="Puces4"/>
            </w:pPr>
            <w:r w:rsidRPr="00C679ED">
              <w:t>Ensure alignment and coherence across the Foundation’s ecosystem, improving how Stop Hunger collaborates with partners, clients, donors, volunteers, and internal colleagues.</w:t>
            </w:r>
          </w:p>
          <w:p w14:paraId="0376654B" w14:textId="77EAC18B" w:rsidR="00D87CC8" w:rsidRPr="00C679ED" w:rsidRDefault="00C679ED" w:rsidP="00C679ED">
            <w:pPr>
              <w:pStyle w:val="Puces4"/>
              <w:rPr>
                <w:color w:val="000000" w:themeColor="text1"/>
                <w:szCs w:val="20"/>
              </w:rPr>
            </w:pPr>
            <w:r w:rsidRPr="00C679ED">
              <w:t>Deliver clear, constructive recommendations and follow</w:t>
            </w:r>
            <w:r w:rsidRPr="00C679ED">
              <w:rPr>
                <w:rFonts w:ascii="Cambria Math" w:hAnsi="Cambria Math" w:cs="Cambria Math"/>
              </w:rPr>
              <w:t>‑</w:t>
            </w:r>
            <w:r w:rsidRPr="00C679ED">
              <w:t>through actions that support continuous improvement in governance, strategy, and community impact.</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D42667">
        <w:trPr>
          <w:trHeight w:val="410"/>
        </w:trPr>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095FFBD" w14:textId="77777777" w:rsidR="00247F5A" w:rsidRPr="00247F5A" w:rsidRDefault="00247F5A" w:rsidP="00247F5A">
            <w:pPr>
              <w:pStyle w:val="Puces4"/>
            </w:pPr>
            <w:r w:rsidRPr="00247F5A">
              <w:t>Advisory scope: Provides strategic insight that informs Stop Hunger’s UK &amp; Ireland strategy and Board of Trustees decision</w:t>
            </w:r>
            <w:r w:rsidRPr="00247F5A">
              <w:rPr>
                <w:rFonts w:ascii="Cambria Math" w:hAnsi="Cambria Math" w:cs="Cambria Math"/>
              </w:rPr>
              <w:t>‑</w:t>
            </w:r>
            <w:r w:rsidRPr="00247F5A">
              <w:t>making.</w:t>
            </w:r>
          </w:p>
          <w:p w14:paraId="2580DFB0" w14:textId="77777777" w:rsidR="00247F5A" w:rsidRPr="00247F5A" w:rsidRDefault="00247F5A" w:rsidP="00247F5A">
            <w:pPr>
              <w:pStyle w:val="Puces4"/>
            </w:pPr>
            <w:r w:rsidRPr="00247F5A">
              <w:t>Engagement volume: Participates in 2 structured insight cycles per year, including preparation and follow</w:t>
            </w:r>
            <w:r w:rsidRPr="00247F5A">
              <w:rPr>
                <w:rFonts w:ascii="Cambria Math" w:hAnsi="Cambria Math" w:cs="Cambria Math"/>
              </w:rPr>
              <w:t>‑</w:t>
            </w:r>
            <w:r w:rsidRPr="00247F5A">
              <w:t>through activities (approx. 4–6 hours per cycle).</w:t>
            </w:r>
          </w:p>
          <w:p w14:paraId="5C12173C" w14:textId="77777777" w:rsidR="00247F5A" w:rsidRPr="00247F5A" w:rsidRDefault="00247F5A" w:rsidP="00247F5A">
            <w:pPr>
              <w:pStyle w:val="Puces4"/>
            </w:pPr>
            <w:r w:rsidRPr="00247F5A">
              <w:t>Community reach: Contributes to decisions affecting communities across the UK &amp; Ireland, reflecting diverse local needs and contexts.</w:t>
            </w:r>
          </w:p>
          <w:p w14:paraId="3D1250C2" w14:textId="77777777" w:rsidR="00247F5A" w:rsidRPr="00247F5A" w:rsidRDefault="00247F5A" w:rsidP="00247F5A">
            <w:pPr>
              <w:pStyle w:val="Puces4"/>
            </w:pPr>
            <w:r w:rsidRPr="00247F5A">
              <w:t>Ecosystem breadth: Supports alignment with a wide range of stakeholders, including charity partners, clients, donors, volunteers, and internal colleagues.</w:t>
            </w:r>
          </w:p>
          <w:p w14:paraId="0EA1C6A5" w14:textId="02B0F4E7" w:rsidR="0095128F" w:rsidRPr="00D87CC8" w:rsidRDefault="00247F5A" w:rsidP="00247F5A">
            <w:pPr>
              <w:pStyle w:val="Puces4"/>
              <w:rPr>
                <w:color w:val="000000" w:themeColor="text1"/>
                <w:szCs w:val="20"/>
              </w:rPr>
            </w:pPr>
            <w:r w:rsidRPr="00247F5A">
              <w:t>Governance influence: Feeds insight into formal recommendations and minutes submitted to the Board of Trustees via the Board Secretary.</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D80A5D">
        <w:tc>
          <w:tcPr>
            <w:tcW w:w="10375" w:type="dxa"/>
            <w:tcBorders>
              <w:top w:val="dotted" w:sz="4" w:space="0" w:color="auto"/>
              <w:bottom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7E1C273C" w14:textId="77777777" w:rsidR="003D0B82" w:rsidRDefault="00D80A5D" w:rsidP="0020269F">
            <w:pPr>
              <w:spacing w:before="20" w:after="20" w:line="259" w:lineRule="auto"/>
              <w:jc w:val="left"/>
              <w:rPr>
                <w:rFonts w:cs="Arial"/>
                <w:b/>
                <w:szCs w:val="22"/>
                <w:lang w:eastAsia="en-GB"/>
              </w:rPr>
            </w:pPr>
            <w:r>
              <w:rPr>
                <w:rFonts w:cs="Arial"/>
                <w:b/>
                <w:szCs w:val="22"/>
                <w:lang w:eastAsia="en-GB"/>
              </w:rPr>
              <w:t xml:space="preserve">Core competencies </w:t>
            </w:r>
            <w:r w:rsidR="003D0B82">
              <w:rPr>
                <w:rFonts w:cs="Arial"/>
                <w:b/>
                <w:szCs w:val="22"/>
                <w:lang w:eastAsia="en-GB"/>
              </w:rPr>
              <w:t>for all members</w:t>
            </w:r>
          </w:p>
          <w:p w14:paraId="1BB21607" w14:textId="5B90762D" w:rsidR="003D0B82" w:rsidRDefault="00485261" w:rsidP="00D80A5D">
            <w:pPr>
              <w:numPr>
                <w:ilvl w:val="0"/>
                <w:numId w:val="34"/>
              </w:numPr>
              <w:spacing w:before="20" w:after="20" w:line="259" w:lineRule="auto"/>
              <w:jc w:val="left"/>
              <w:rPr>
                <w:rFonts w:cs="Arial"/>
                <w:bCs/>
                <w:szCs w:val="22"/>
                <w:lang w:eastAsia="en-GB"/>
              </w:rPr>
            </w:pPr>
            <w:r w:rsidRPr="00485261">
              <w:rPr>
                <w:rFonts w:cs="Arial"/>
                <w:bCs/>
                <w:szCs w:val="22"/>
                <w:lang w:eastAsia="en-GB"/>
              </w:rPr>
              <w:lastRenderedPageBreak/>
              <w:t>Strong understanding of community needs, frontline realities, or social sector challenges</w:t>
            </w:r>
          </w:p>
          <w:p w14:paraId="720D216C" w14:textId="79CBC688" w:rsidR="00485261" w:rsidRDefault="00485261" w:rsidP="00D80A5D">
            <w:pPr>
              <w:numPr>
                <w:ilvl w:val="0"/>
                <w:numId w:val="34"/>
              </w:numPr>
              <w:spacing w:before="20" w:after="20" w:line="259" w:lineRule="auto"/>
              <w:jc w:val="left"/>
              <w:rPr>
                <w:rFonts w:cs="Arial"/>
                <w:bCs/>
                <w:szCs w:val="22"/>
                <w:lang w:eastAsia="en-GB"/>
              </w:rPr>
            </w:pPr>
            <w:r>
              <w:rPr>
                <w:rFonts w:cs="Arial"/>
                <w:bCs/>
                <w:szCs w:val="22"/>
                <w:lang w:eastAsia="en-GB"/>
              </w:rPr>
              <w:t xml:space="preserve">Ability to provide independent, unbiased, and constructive challenge </w:t>
            </w:r>
          </w:p>
          <w:p w14:paraId="37669EF4" w14:textId="4D417AB4" w:rsidR="00485261" w:rsidRDefault="00243028" w:rsidP="00D80A5D">
            <w:pPr>
              <w:numPr>
                <w:ilvl w:val="0"/>
                <w:numId w:val="34"/>
              </w:numPr>
              <w:spacing w:before="20" w:after="20" w:line="259" w:lineRule="auto"/>
              <w:jc w:val="left"/>
              <w:rPr>
                <w:rFonts w:cs="Arial"/>
                <w:bCs/>
                <w:szCs w:val="22"/>
                <w:lang w:eastAsia="en-GB"/>
              </w:rPr>
            </w:pPr>
            <w:r>
              <w:rPr>
                <w:rFonts w:cs="Arial"/>
                <w:bCs/>
                <w:szCs w:val="22"/>
                <w:lang w:eastAsia="en-GB"/>
              </w:rPr>
              <w:t xml:space="preserve">Commitment to equity, inclusion, and community-led </w:t>
            </w:r>
            <w:proofErr w:type="gramStart"/>
            <w:r>
              <w:rPr>
                <w:rFonts w:cs="Arial"/>
                <w:bCs/>
                <w:szCs w:val="22"/>
                <w:lang w:eastAsia="en-GB"/>
              </w:rPr>
              <w:t>approached</w:t>
            </w:r>
            <w:proofErr w:type="gramEnd"/>
            <w:r>
              <w:rPr>
                <w:rFonts w:cs="Arial"/>
                <w:bCs/>
                <w:szCs w:val="22"/>
                <w:lang w:eastAsia="en-GB"/>
              </w:rPr>
              <w:t xml:space="preserve"> </w:t>
            </w:r>
          </w:p>
          <w:p w14:paraId="6623A812" w14:textId="39771CEF" w:rsidR="00243028" w:rsidRDefault="00243028" w:rsidP="00D80A5D">
            <w:pPr>
              <w:numPr>
                <w:ilvl w:val="0"/>
                <w:numId w:val="34"/>
              </w:numPr>
              <w:spacing w:before="20" w:after="20" w:line="259" w:lineRule="auto"/>
              <w:jc w:val="left"/>
              <w:rPr>
                <w:rFonts w:cs="Arial"/>
                <w:bCs/>
                <w:szCs w:val="22"/>
                <w:lang w:eastAsia="en-GB"/>
              </w:rPr>
            </w:pPr>
            <w:r>
              <w:rPr>
                <w:rFonts w:cs="Arial"/>
                <w:bCs/>
                <w:szCs w:val="22"/>
                <w:lang w:eastAsia="en-GB"/>
              </w:rPr>
              <w:t xml:space="preserve">Effective communication and ability to contribute meaningfully </w:t>
            </w:r>
            <w:proofErr w:type="gramStart"/>
            <w:r>
              <w:rPr>
                <w:rFonts w:cs="Arial"/>
                <w:bCs/>
                <w:szCs w:val="22"/>
                <w:lang w:eastAsia="en-GB"/>
              </w:rPr>
              <w:t>in</w:t>
            </w:r>
            <w:proofErr w:type="gramEnd"/>
            <w:r>
              <w:rPr>
                <w:rFonts w:cs="Arial"/>
                <w:bCs/>
                <w:szCs w:val="22"/>
                <w:lang w:eastAsia="en-GB"/>
              </w:rPr>
              <w:t xml:space="preserve"> group settings</w:t>
            </w:r>
          </w:p>
          <w:p w14:paraId="2652742A" w14:textId="11EE0DFE" w:rsidR="00243028" w:rsidRDefault="00243028" w:rsidP="00D80A5D">
            <w:pPr>
              <w:numPr>
                <w:ilvl w:val="0"/>
                <w:numId w:val="34"/>
              </w:numPr>
              <w:spacing w:before="20" w:after="20" w:line="259" w:lineRule="auto"/>
              <w:jc w:val="left"/>
              <w:rPr>
                <w:rFonts w:cs="Arial"/>
                <w:bCs/>
                <w:szCs w:val="22"/>
                <w:lang w:eastAsia="en-GB"/>
              </w:rPr>
            </w:pPr>
            <w:r>
              <w:rPr>
                <w:rFonts w:cs="Arial"/>
                <w:bCs/>
                <w:szCs w:val="22"/>
                <w:lang w:eastAsia="en-GB"/>
              </w:rPr>
              <w:t>Knowledge of Stop Hunger mission areas: food insecurity, social mobility, community resilience, partnership creation, staff engagement, fundraising</w:t>
            </w:r>
          </w:p>
          <w:p w14:paraId="0C3471AE" w14:textId="219738A4" w:rsidR="00243028" w:rsidRDefault="00243028" w:rsidP="00D80A5D">
            <w:pPr>
              <w:numPr>
                <w:ilvl w:val="0"/>
                <w:numId w:val="34"/>
              </w:numPr>
              <w:spacing w:before="20" w:after="20" w:line="259" w:lineRule="auto"/>
              <w:jc w:val="left"/>
              <w:rPr>
                <w:rFonts w:cs="Arial"/>
                <w:bCs/>
                <w:szCs w:val="22"/>
                <w:lang w:eastAsia="en-GB"/>
              </w:rPr>
            </w:pPr>
            <w:r>
              <w:rPr>
                <w:rFonts w:cs="Arial"/>
                <w:bCs/>
                <w:szCs w:val="22"/>
                <w:lang w:eastAsia="en-GB"/>
              </w:rPr>
              <w:t>Ability to maintain confidentiality, declare conflicts of interest, and uphold governance integrity</w:t>
            </w:r>
          </w:p>
          <w:p w14:paraId="50839C3A" w14:textId="35DF0581" w:rsidR="00243028" w:rsidRPr="00485261" w:rsidRDefault="00243028" w:rsidP="00D80A5D">
            <w:pPr>
              <w:numPr>
                <w:ilvl w:val="0"/>
                <w:numId w:val="34"/>
              </w:numPr>
              <w:spacing w:before="20" w:after="20" w:line="259" w:lineRule="auto"/>
              <w:jc w:val="left"/>
              <w:rPr>
                <w:rFonts w:cs="Arial"/>
                <w:bCs/>
                <w:szCs w:val="22"/>
                <w:lang w:eastAsia="en-GB"/>
              </w:rPr>
            </w:pPr>
            <w:r>
              <w:rPr>
                <w:rFonts w:cs="Arial"/>
                <w:bCs/>
                <w:szCs w:val="22"/>
                <w:lang w:eastAsia="en-GB"/>
              </w:rPr>
              <w:t>Preparedness to review materials, participate actively, and support follow-through on recommendations</w:t>
            </w:r>
          </w:p>
          <w:p w14:paraId="2CCD399A" w14:textId="191A2960" w:rsidR="00D80A5D" w:rsidRPr="00D80A5D" w:rsidRDefault="00D80A5D" w:rsidP="0020269F">
            <w:pPr>
              <w:spacing w:before="20" w:after="20" w:line="259" w:lineRule="auto"/>
              <w:ind w:left="360"/>
              <w:jc w:val="left"/>
              <w:rPr>
                <w:rFonts w:cs="Arial"/>
                <w:b/>
                <w:szCs w:val="22"/>
                <w:lang w:eastAsia="en-GB"/>
              </w:rPr>
            </w:pPr>
            <w:r w:rsidRPr="00D80A5D">
              <w:rPr>
                <w:rFonts w:cs="Arial"/>
                <w:b/>
                <w:szCs w:val="22"/>
                <w:lang w:eastAsia="en-GB"/>
              </w:rPr>
              <w:t xml:space="preserve">Role-specific Strengths </w:t>
            </w:r>
          </w:p>
          <w:p w14:paraId="68C5F3E6" w14:textId="707201E0" w:rsidR="00D80A5D" w:rsidRPr="00C11A6E" w:rsidRDefault="00D80A5D" w:rsidP="00C11A6E">
            <w:pPr>
              <w:numPr>
                <w:ilvl w:val="0"/>
                <w:numId w:val="34"/>
              </w:numPr>
              <w:spacing w:before="20" w:after="20" w:line="259" w:lineRule="auto"/>
              <w:jc w:val="left"/>
              <w:rPr>
                <w:rFonts w:cs="Arial"/>
                <w:bCs/>
                <w:szCs w:val="22"/>
                <w:lang w:eastAsia="en-GB"/>
              </w:rPr>
            </w:pPr>
            <w:r w:rsidRPr="00D80A5D">
              <w:rPr>
                <w:rFonts w:cs="Arial"/>
                <w:bCs/>
                <w:szCs w:val="22"/>
                <w:lang w:eastAsia="en-GB"/>
              </w:rPr>
              <w:t>Chair</w:t>
            </w:r>
            <w:r w:rsidR="00C11A6E">
              <w:rPr>
                <w:rFonts w:cs="Arial"/>
                <w:bCs/>
                <w:szCs w:val="22"/>
                <w:lang w:eastAsia="en-GB"/>
              </w:rPr>
              <w:t xml:space="preserve">: </w:t>
            </w:r>
            <w:r w:rsidRPr="00C11A6E">
              <w:rPr>
                <w:rFonts w:cs="Arial"/>
                <w:bCs/>
                <w:szCs w:val="22"/>
                <w:lang w:eastAsia="en-GB"/>
              </w:rPr>
              <w:t>Brings strong leadership, facilitation, and strategic focus.</w:t>
            </w:r>
          </w:p>
          <w:p w14:paraId="0D2AACB4" w14:textId="7495373E" w:rsidR="00D80A5D" w:rsidRPr="00D80A5D" w:rsidRDefault="00C11A6E" w:rsidP="00D80A5D">
            <w:pPr>
              <w:numPr>
                <w:ilvl w:val="0"/>
                <w:numId w:val="34"/>
              </w:numPr>
              <w:spacing w:before="20" w:after="20" w:line="259" w:lineRule="auto"/>
              <w:jc w:val="left"/>
              <w:rPr>
                <w:rFonts w:cs="Arial"/>
                <w:bCs/>
                <w:szCs w:val="22"/>
                <w:lang w:eastAsia="en-GB"/>
              </w:rPr>
            </w:pPr>
            <w:r>
              <w:rPr>
                <w:rFonts w:cs="Arial"/>
                <w:bCs/>
                <w:szCs w:val="22"/>
                <w:lang w:eastAsia="en-GB"/>
              </w:rPr>
              <w:t xml:space="preserve">Chair: </w:t>
            </w:r>
            <w:r w:rsidR="00D80A5D" w:rsidRPr="00D80A5D">
              <w:rPr>
                <w:rFonts w:cs="Arial"/>
                <w:bCs/>
                <w:szCs w:val="22"/>
                <w:lang w:eastAsia="en-GB"/>
              </w:rPr>
              <w:t>Ensures independence, balanced discussion, and clarity of recommendations.</w:t>
            </w:r>
          </w:p>
          <w:p w14:paraId="07ADDD8C" w14:textId="662E3181" w:rsidR="00D80A5D" w:rsidRPr="00C11A6E" w:rsidRDefault="00D80A5D" w:rsidP="003112E4">
            <w:pPr>
              <w:numPr>
                <w:ilvl w:val="0"/>
                <w:numId w:val="34"/>
              </w:numPr>
              <w:spacing w:before="20" w:after="20" w:line="259" w:lineRule="auto"/>
              <w:jc w:val="left"/>
              <w:rPr>
                <w:rFonts w:cs="Arial"/>
                <w:bCs/>
                <w:szCs w:val="22"/>
                <w:lang w:eastAsia="en-GB"/>
              </w:rPr>
            </w:pPr>
            <w:r w:rsidRPr="00C11A6E">
              <w:rPr>
                <w:rFonts w:cs="Arial"/>
                <w:bCs/>
                <w:szCs w:val="22"/>
                <w:lang w:eastAsia="en-GB"/>
              </w:rPr>
              <w:t>Trustee Member</w:t>
            </w:r>
            <w:r w:rsidR="00C11A6E" w:rsidRPr="00C11A6E">
              <w:rPr>
                <w:rFonts w:cs="Arial"/>
                <w:bCs/>
                <w:szCs w:val="22"/>
                <w:lang w:eastAsia="en-GB"/>
              </w:rPr>
              <w:t>:</w:t>
            </w:r>
            <w:r w:rsidR="00C11A6E">
              <w:rPr>
                <w:rFonts w:cs="Arial"/>
                <w:bCs/>
                <w:szCs w:val="22"/>
                <w:lang w:eastAsia="en-GB"/>
              </w:rPr>
              <w:t xml:space="preserve"> </w:t>
            </w:r>
            <w:r w:rsidRPr="00C11A6E">
              <w:rPr>
                <w:rFonts w:cs="Arial"/>
                <w:bCs/>
                <w:szCs w:val="22"/>
                <w:lang w:eastAsia="en-GB"/>
              </w:rPr>
              <w:t>Connects CAB insights directly into governance processes and Board decision making.</w:t>
            </w:r>
          </w:p>
          <w:p w14:paraId="34190486" w14:textId="1B04866B" w:rsidR="00D80A5D" w:rsidRPr="00D80A5D" w:rsidRDefault="00C11A6E" w:rsidP="00D80A5D">
            <w:pPr>
              <w:numPr>
                <w:ilvl w:val="0"/>
                <w:numId w:val="34"/>
              </w:numPr>
              <w:spacing w:before="20" w:after="20" w:line="259" w:lineRule="auto"/>
              <w:jc w:val="left"/>
              <w:rPr>
                <w:rFonts w:cs="Arial"/>
                <w:bCs/>
                <w:szCs w:val="22"/>
                <w:lang w:eastAsia="en-GB"/>
              </w:rPr>
            </w:pPr>
            <w:r>
              <w:rPr>
                <w:rFonts w:cs="Arial"/>
                <w:bCs/>
                <w:szCs w:val="22"/>
                <w:lang w:eastAsia="en-GB"/>
              </w:rPr>
              <w:t xml:space="preserve">Trustee Member: </w:t>
            </w:r>
            <w:r w:rsidR="00D80A5D" w:rsidRPr="00D80A5D">
              <w:rPr>
                <w:rFonts w:cs="Arial"/>
                <w:bCs/>
                <w:szCs w:val="22"/>
                <w:lang w:eastAsia="en-GB"/>
              </w:rPr>
              <w:t>Understands charity governance expectations and fiduciary responsibilities.</w:t>
            </w:r>
          </w:p>
          <w:p w14:paraId="339C0A28" w14:textId="6D68406D" w:rsidR="00D80A5D" w:rsidRPr="00C11A6E" w:rsidRDefault="00D80A5D" w:rsidP="00C11A6E">
            <w:pPr>
              <w:numPr>
                <w:ilvl w:val="0"/>
                <w:numId w:val="34"/>
              </w:numPr>
              <w:spacing w:before="20" w:after="20" w:line="259" w:lineRule="auto"/>
              <w:jc w:val="left"/>
              <w:rPr>
                <w:rFonts w:cs="Arial"/>
                <w:bCs/>
                <w:szCs w:val="22"/>
                <w:lang w:eastAsia="en-GB"/>
              </w:rPr>
            </w:pPr>
            <w:r w:rsidRPr="00D80A5D">
              <w:rPr>
                <w:rFonts w:cs="Arial"/>
                <w:bCs/>
                <w:szCs w:val="22"/>
                <w:lang w:eastAsia="en-GB"/>
              </w:rPr>
              <w:t>Charity Partner Representative</w:t>
            </w:r>
            <w:r w:rsidR="00C11A6E">
              <w:rPr>
                <w:rFonts w:cs="Arial"/>
                <w:bCs/>
                <w:szCs w:val="22"/>
                <w:lang w:eastAsia="en-GB"/>
              </w:rPr>
              <w:t xml:space="preserve">: </w:t>
            </w:r>
            <w:r w:rsidRPr="00C11A6E">
              <w:rPr>
                <w:rFonts w:cs="Arial"/>
                <w:bCs/>
                <w:szCs w:val="22"/>
                <w:lang w:eastAsia="en-GB"/>
              </w:rPr>
              <w:t>Provides frontline insight and lived experience from diverse community contexts.</w:t>
            </w:r>
          </w:p>
          <w:p w14:paraId="043E63F8" w14:textId="619C9E1C" w:rsidR="00D80A5D" w:rsidRPr="00D80A5D" w:rsidRDefault="00C11A6E" w:rsidP="00D80A5D">
            <w:pPr>
              <w:numPr>
                <w:ilvl w:val="0"/>
                <w:numId w:val="34"/>
              </w:numPr>
              <w:spacing w:before="20" w:after="20" w:line="259" w:lineRule="auto"/>
              <w:jc w:val="left"/>
              <w:rPr>
                <w:rFonts w:cs="Arial"/>
                <w:bCs/>
                <w:szCs w:val="22"/>
                <w:lang w:eastAsia="en-GB"/>
              </w:rPr>
            </w:pPr>
            <w:r>
              <w:rPr>
                <w:rFonts w:cs="Arial"/>
                <w:bCs/>
                <w:szCs w:val="22"/>
                <w:lang w:eastAsia="en-GB"/>
              </w:rPr>
              <w:t xml:space="preserve">Charity Partner Representative: </w:t>
            </w:r>
            <w:r w:rsidR="00D80A5D" w:rsidRPr="00D80A5D">
              <w:rPr>
                <w:rFonts w:cs="Arial"/>
                <w:bCs/>
                <w:szCs w:val="22"/>
                <w:lang w:eastAsia="en-GB"/>
              </w:rPr>
              <w:t>Brings deep understanding of community needs and service delivery challenges.</w:t>
            </w:r>
          </w:p>
          <w:p w14:paraId="26DE1728" w14:textId="02B881AD" w:rsidR="00D80A5D" w:rsidRPr="00C11A6E" w:rsidRDefault="00D80A5D" w:rsidP="00C11A6E">
            <w:pPr>
              <w:numPr>
                <w:ilvl w:val="0"/>
                <w:numId w:val="34"/>
              </w:numPr>
              <w:spacing w:before="20" w:after="20" w:line="259" w:lineRule="auto"/>
              <w:jc w:val="left"/>
              <w:rPr>
                <w:rFonts w:cs="Arial"/>
                <w:bCs/>
                <w:szCs w:val="22"/>
                <w:lang w:eastAsia="en-GB"/>
              </w:rPr>
            </w:pPr>
            <w:r w:rsidRPr="00D80A5D">
              <w:rPr>
                <w:rFonts w:cs="Arial"/>
                <w:bCs/>
                <w:szCs w:val="22"/>
                <w:lang w:eastAsia="en-GB"/>
              </w:rPr>
              <w:t>Donor Representative</w:t>
            </w:r>
            <w:r w:rsidR="00C11A6E">
              <w:rPr>
                <w:rFonts w:cs="Arial"/>
                <w:bCs/>
                <w:szCs w:val="22"/>
                <w:lang w:eastAsia="en-GB"/>
              </w:rPr>
              <w:t xml:space="preserve">: </w:t>
            </w:r>
            <w:r w:rsidRPr="00C11A6E">
              <w:rPr>
                <w:rFonts w:cs="Arial"/>
                <w:bCs/>
                <w:szCs w:val="22"/>
                <w:lang w:eastAsia="en-GB"/>
              </w:rPr>
              <w:t>Shares insight into funder priorities, philanthropic alignment, and partnership value.</w:t>
            </w:r>
          </w:p>
          <w:p w14:paraId="312B2AD4" w14:textId="7941571D" w:rsidR="00D80A5D" w:rsidRPr="00D80A5D" w:rsidRDefault="00C11A6E" w:rsidP="00D80A5D">
            <w:pPr>
              <w:numPr>
                <w:ilvl w:val="0"/>
                <w:numId w:val="34"/>
              </w:numPr>
              <w:spacing w:before="20" w:after="20" w:line="259" w:lineRule="auto"/>
              <w:jc w:val="left"/>
              <w:rPr>
                <w:rFonts w:cs="Arial"/>
                <w:bCs/>
                <w:szCs w:val="22"/>
                <w:lang w:eastAsia="en-GB"/>
              </w:rPr>
            </w:pPr>
            <w:r>
              <w:rPr>
                <w:rFonts w:cs="Arial"/>
                <w:bCs/>
                <w:szCs w:val="22"/>
                <w:lang w:eastAsia="en-GB"/>
              </w:rPr>
              <w:t xml:space="preserve">Donor Representative: </w:t>
            </w:r>
            <w:r w:rsidR="00D80A5D" w:rsidRPr="00D80A5D">
              <w:rPr>
                <w:rFonts w:cs="Arial"/>
                <w:bCs/>
                <w:szCs w:val="22"/>
                <w:lang w:eastAsia="en-GB"/>
              </w:rPr>
              <w:t>Understands donor decision making and investment criteria.</w:t>
            </w:r>
          </w:p>
          <w:p w14:paraId="6932DDED" w14:textId="24F296C1" w:rsidR="00D80A5D" w:rsidRPr="00C11A6E" w:rsidRDefault="00D80A5D" w:rsidP="00C11A6E">
            <w:pPr>
              <w:numPr>
                <w:ilvl w:val="0"/>
                <w:numId w:val="34"/>
              </w:numPr>
              <w:spacing w:before="20" w:after="20" w:line="259" w:lineRule="auto"/>
              <w:jc w:val="left"/>
              <w:rPr>
                <w:rFonts w:cs="Arial"/>
                <w:bCs/>
                <w:szCs w:val="22"/>
                <w:lang w:eastAsia="en-GB"/>
              </w:rPr>
            </w:pPr>
            <w:r w:rsidRPr="00D80A5D">
              <w:rPr>
                <w:rFonts w:cs="Arial"/>
                <w:bCs/>
                <w:szCs w:val="22"/>
                <w:lang w:eastAsia="en-GB"/>
              </w:rPr>
              <w:t>Client Representative</w:t>
            </w:r>
            <w:r w:rsidR="00C11A6E">
              <w:rPr>
                <w:rFonts w:cs="Arial"/>
                <w:bCs/>
                <w:szCs w:val="22"/>
                <w:lang w:eastAsia="en-GB"/>
              </w:rPr>
              <w:t xml:space="preserve">: </w:t>
            </w:r>
            <w:r w:rsidRPr="00C11A6E">
              <w:rPr>
                <w:rFonts w:cs="Arial"/>
                <w:bCs/>
                <w:szCs w:val="22"/>
                <w:lang w:eastAsia="en-GB"/>
              </w:rPr>
              <w:t>Brings perspective on client impact priorities and shared value opportunities.</w:t>
            </w:r>
          </w:p>
          <w:p w14:paraId="5F78BD57" w14:textId="4FC1CD69" w:rsidR="00D80A5D" w:rsidRPr="00D80A5D" w:rsidRDefault="00C11A6E" w:rsidP="00D80A5D">
            <w:pPr>
              <w:numPr>
                <w:ilvl w:val="0"/>
                <w:numId w:val="34"/>
              </w:numPr>
              <w:spacing w:before="20" w:after="20" w:line="259" w:lineRule="auto"/>
              <w:jc w:val="left"/>
              <w:rPr>
                <w:rFonts w:cs="Arial"/>
                <w:bCs/>
                <w:szCs w:val="22"/>
                <w:lang w:eastAsia="en-GB"/>
              </w:rPr>
            </w:pPr>
            <w:r>
              <w:rPr>
                <w:rFonts w:cs="Arial"/>
                <w:bCs/>
                <w:szCs w:val="22"/>
                <w:lang w:eastAsia="en-GB"/>
              </w:rPr>
              <w:t xml:space="preserve">Client Representative: </w:t>
            </w:r>
            <w:r w:rsidR="00D80A5D" w:rsidRPr="00D80A5D">
              <w:rPr>
                <w:rFonts w:cs="Arial"/>
                <w:bCs/>
                <w:szCs w:val="22"/>
                <w:lang w:eastAsia="en-GB"/>
              </w:rPr>
              <w:t>Understands corporate partnership needs and expectations.</w:t>
            </w:r>
          </w:p>
          <w:p w14:paraId="681C7C9E" w14:textId="7940CC2E" w:rsidR="00D80A5D" w:rsidRPr="00C11A6E" w:rsidRDefault="00D80A5D" w:rsidP="00C11A6E">
            <w:pPr>
              <w:numPr>
                <w:ilvl w:val="0"/>
                <w:numId w:val="34"/>
              </w:numPr>
              <w:spacing w:before="20" w:after="20" w:line="259" w:lineRule="auto"/>
              <w:jc w:val="left"/>
              <w:rPr>
                <w:rFonts w:cs="Arial"/>
                <w:bCs/>
                <w:szCs w:val="22"/>
                <w:lang w:eastAsia="en-GB"/>
              </w:rPr>
            </w:pPr>
            <w:r w:rsidRPr="00D80A5D">
              <w:rPr>
                <w:rFonts w:cs="Arial"/>
                <w:bCs/>
                <w:szCs w:val="22"/>
                <w:lang w:eastAsia="en-GB"/>
              </w:rPr>
              <w:t>Lead Charity Champion</w:t>
            </w:r>
            <w:r w:rsidR="00C11A6E">
              <w:rPr>
                <w:rFonts w:cs="Arial"/>
                <w:bCs/>
                <w:szCs w:val="22"/>
                <w:lang w:eastAsia="en-GB"/>
              </w:rPr>
              <w:t xml:space="preserve">: </w:t>
            </w:r>
            <w:r w:rsidRPr="00C11A6E">
              <w:rPr>
                <w:rFonts w:cs="Arial"/>
                <w:bCs/>
                <w:szCs w:val="22"/>
                <w:lang w:eastAsia="en-GB"/>
              </w:rPr>
              <w:t xml:space="preserve">Represents the voice of colleagues and internal </w:t>
            </w:r>
            <w:proofErr w:type="spellStart"/>
            <w:r w:rsidRPr="00C11A6E">
              <w:rPr>
                <w:rFonts w:cs="Arial"/>
                <w:bCs/>
                <w:szCs w:val="22"/>
                <w:lang w:eastAsia="en-GB"/>
              </w:rPr>
              <w:t>mobilisation</w:t>
            </w:r>
            <w:proofErr w:type="spellEnd"/>
            <w:r w:rsidRPr="00C11A6E">
              <w:rPr>
                <w:rFonts w:cs="Arial"/>
                <w:bCs/>
                <w:szCs w:val="22"/>
                <w:lang w:eastAsia="en-GB"/>
              </w:rPr>
              <w:t>.</w:t>
            </w:r>
          </w:p>
          <w:p w14:paraId="27E5AAEB" w14:textId="32A000EA" w:rsidR="00D80A5D" w:rsidRPr="00D80A5D" w:rsidRDefault="00C11A6E" w:rsidP="00D80A5D">
            <w:pPr>
              <w:numPr>
                <w:ilvl w:val="0"/>
                <w:numId w:val="34"/>
              </w:numPr>
              <w:spacing w:before="20" w:after="20" w:line="259" w:lineRule="auto"/>
              <w:jc w:val="left"/>
              <w:rPr>
                <w:rFonts w:cs="Arial"/>
                <w:bCs/>
                <w:szCs w:val="22"/>
                <w:lang w:eastAsia="en-GB"/>
              </w:rPr>
            </w:pPr>
            <w:r>
              <w:rPr>
                <w:rFonts w:cs="Arial"/>
                <w:bCs/>
                <w:szCs w:val="22"/>
                <w:lang w:eastAsia="en-GB"/>
              </w:rPr>
              <w:t xml:space="preserve">Lead Charity Champion: </w:t>
            </w:r>
            <w:r w:rsidR="00D80A5D" w:rsidRPr="00D80A5D">
              <w:rPr>
                <w:rFonts w:cs="Arial"/>
                <w:bCs/>
                <w:szCs w:val="22"/>
                <w:lang w:eastAsia="en-GB"/>
              </w:rPr>
              <w:t>Brings insight into staff engagement and volunteering dynamics.</w:t>
            </w:r>
          </w:p>
          <w:p w14:paraId="35FEBE09" w14:textId="77777777" w:rsidR="0095128F" w:rsidRPr="00A824A9" w:rsidRDefault="0095128F" w:rsidP="00862E4F">
            <w:pPr>
              <w:rPr>
                <w:rFonts w:cs="Arial"/>
                <w:color w:val="000000" w:themeColor="text1"/>
                <w:szCs w:val="20"/>
              </w:rPr>
            </w:pPr>
          </w:p>
        </w:tc>
      </w:tr>
      <w:tr w:rsidR="00D80A5D" w:rsidRPr="00A824A9" w14:paraId="56B10C2F" w14:textId="77777777" w:rsidTr="00862E4F">
        <w:tc>
          <w:tcPr>
            <w:tcW w:w="10375" w:type="dxa"/>
            <w:tcBorders>
              <w:top w:val="dotted" w:sz="4" w:space="0" w:color="auto"/>
            </w:tcBorders>
          </w:tcPr>
          <w:p w14:paraId="0288D71C" w14:textId="77777777" w:rsidR="00D80A5D" w:rsidRDefault="00D80A5D" w:rsidP="00862E4F">
            <w:pPr>
              <w:spacing w:before="40" w:after="40"/>
              <w:jc w:val="left"/>
              <w:rPr>
                <w:rFonts w:cs="Arial"/>
                <w:b/>
                <w:color w:val="000000" w:themeColor="text1"/>
                <w:szCs w:val="20"/>
                <w:shd w:val="clear" w:color="auto" w:fill="F2F2F2"/>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32664BA" w14:textId="7597B380" w:rsidR="000B4AA1" w:rsidRDefault="000B4AA1" w:rsidP="00DB2C8A">
            <w:pPr>
              <w:pStyle w:val="ListParagraph"/>
              <w:ind w:left="360"/>
              <w:jc w:val="left"/>
              <w:rPr>
                <w:rFonts w:cs="Arial"/>
                <w:color w:val="000000" w:themeColor="text1"/>
                <w:szCs w:val="20"/>
              </w:rPr>
            </w:pPr>
          </w:p>
          <w:p w14:paraId="191F1442" w14:textId="65365315"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2DBFD2B1" w:rsidR="0023185C" w:rsidRPr="00DB2C8A" w:rsidRDefault="0023185C" w:rsidP="00DB2C8A">
            <w:p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2B6CDD3"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003F1466">
        <w:rPr>
          <w:rFonts w:cs="Arial"/>
          <w:color w:val="002060"/>
          <w:szCs w:val="20"/>
        </w:rPr>
        <w:t>27/02/2026</w:t>
      </w:r>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03B9BB84" w14:textId="0B0B4ED5"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r>
      <w:r w:rsidR="003F1466" w:rsidRPr="003F1466">
        <w:rPr>
          <w:rFonts w:cs="Arial"/>
          <w:color w:val="002060"/>
          <w:szCs w:val="20"/>
        </w:rPr>
        <w:t>Stop Hunger Board of Trustees</w:t>
      </w:r>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8099" w14:textId="77777777" w:rsidR="00C61C0C" w:rsidRDefault="00C61C0C">
      <w:r>
        <w:separator/>
      </w:r>
    </w:p>
  </w:endnote>
  <w:endnote w:type="continuationSeparator" w:id="0">
    <w:p w14:paraId="6A6D5BFF" w14:textId="77777777" w:rsidR="00C61C0C" w:rsidRDefault="00C6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51DE" w14:textId="77777777" w:rsidR="00C61C0C" w:rsidRDefault="00C61C0C">
      <w:r>
        <w:separator/>
      </w:r>
    </w:p>
  </w:footnote>
  <w:footnote w:type="continuationSeparator" w:id="0">
    <w:p w14:paraId="3C0B5CD7" w14:textId="77777777" w:rsidR="00C61C0C" w:rsidRDefault="00C61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visibility:visible;mso-wrap-style:square" o:bullet="t">
        <v:imagedata r:id="rId1" o:titl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DD6CC7"/>
    <w:multiLevelType w:val="multilevel"/>
    <w:tmpl w:val="D6DEB3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E121A6"/>
    <w:multiLevelType w:val="hybridMultilevel"/>
    <w:tmpl w:val="3B34A37C"/>
    <w:lvl w:ilvl="0" w:tplc="5F4A082C">
      <w:start w:val="1"/>
      <w:numFmt w:val="bullet"/>
      <w:lvlText w:val="•"/>
      <w:lvlJc w:val="left"/>
      <w:pPr>
        <w:tabs>
          <w:tab w:val="num" w:pos="720"/>
        </w:tabs>
        <w:ind w:left="720" w:hanging="360"/>
      </w:pPr>
      <w:rPr>
        <w:rFonts w:ascii="Arial" w:hAnsi="Arial" w:hint="default"/>
      </w:rPr>
    </w:lvl>
    <w:lvl w:ilvl="1" w:tplc="FBB62CBC" w:tentative="1">
      <w:start w:val="1"/>
      <w:numFmt w:val="bullet"/>
      <w:lvlText w:val="•"/>
      <w:lvlJc w:val="left"/>
      <w:pPr>
        <w:tabs>
          <w:tab w:val="num" w:pos="1440"/>
        </w:tabs>
        <w:ind w:left="1440" w:hanging="360"/>
      </w:pPr>
      <w:rPr>
        <w:rFonts w:ascii="Arial" w:hAnsi="Arial" w:hint="default"/>
      </w:rPr>
    </w:lvl>
    <w:lvl w:ilvl="2" w:tplc="71E28AA4" w:tentative="1">
      <w:start w:val="1"/>
      <w:numFmt w:val="bullet"/>
      <w:lvlText w:val="•"/>
      <w:lvlJc w:val="left"/>
      <w:pPr>
        <w:tabs>
          <w:tab w:val="num" w:pos="2160"/>
        </w:tabs>
        <w:ind w:left="2160" w:hanging="360"/>
      </w:pPr>
      <w:rPr>
        <w:rFonts w:ascii="Arial" w:hAnsi="Arial" w:hint="default"/>
      </w:rPr>
    </w:lvl>
    <w:lvl w:ilvl="3" w:tplc="2D8CD4A0" w:tentative="1">
      <w:start w:val="1"/>
      <w:numFmt w:val="bullet"/>
      <w:lvlText w:val="•"/>
      <w:lvlJc w:val="left"/>
      <w:pPr>
        <w:tabs>
          <w:tab w:val="num" w:pos="2880"/>
        </w:tabs>
        <w:ind w:left="2880" w:hanging="360"/>
      </w:pPr>
      <w:rPr>
        <w:rFonts w:ascii="Arial" w:hAnsi="Arial" w:hint="default"/>
      </w:rPr>
    </w:lvl>
    <w:lvl w:ilvl="4" w:tplc="860E4E7E" w:tentative="1">
      <w:start w:val="1"/>
      <w:numFmt w:val="bullet"/>
      <w:lvlText w:val="•"/>
      <w:lvlJc w:val="left"/>
      <w:pPr>
        <w:tabs>
          <w:tab w:val="num" w:pos="3600"/>
        </w:tabs>
        <w:ind w:left="3600" w:hanging="360"/>
      </w:pPr>
      <w:rPr>
        <w:rFonts w:ascii="Arial" w:hAnsi="Arial" w:hint="default"/>
      </w:rPr>
    </w:lvl>
    <w:lvl w:ilvl="5" w:tplc="91141CE0" w:tentative="1">
      <w:start w:val="1"/>
      <w:numFmt w:val="bullet"/>
      <w:lvlText w:val="•"/>
      <w:lvlJc w:val="left"/>
      <w:pPr>
        <w:tabs>
          <w:tab w:val="num" w:pos="4320"/>
        </w:tabs>
        <w:ind w:left="4320" w:hanging="360"/>
      </w:pPr>
      <w:rPr>
        <w:rFonts w:ascii="Arial" w:hAnsi="Arial" w:hint="default"/>
      </w:rPr>
    </w:lvl>
    <w:lvl w:ilvl="6" w:tplc="16E6F574" w:tentative="1">
      <w:start w:val="1"/>
      <w:numFmt w:val="bullet"/>
      <w:lvlText w:val="•"/>
      <w:lvlJc w:val="left"/>
      <w:pPr>
        <w:tabs>
          <w:tab w:val="num" w:pos="5040"/>
        </w:tabs>
        <w:ind w:left="5040" w:hanging="360"/>
      </w:pPr>
      <w:rPr>
        <w:rFonts w:ascii="Arial" w:hAnsi="Arial" w:hint="default"/>
      </w:rPr>
    </w:lvl>
    <w:lvl w:ilvl="7" w:tplc="0F625EB8" w:tentative="1">
      <w:start w:val="1"/>
      <w:numFmt w:val="bullet"/>
      <w:lvlText w:val="•"/>
      <w:lvlJc w:val="left"/>
      <w:pPr>
        <w:tabs>
          <w:tab w:val="num" w:pos="5760"/>
        </w:tabs>
        <w:ind w:left="5760" w:hanging="360"/>
      </w:pPr>
      <w:rPr>
        <w:rFonts w:ascii="Arial" w:hAnsi="Arial" w:hint="default"/>
      </w:rPr>
    </w:lvl>
    <w:lvl w:ilvl="8" w:tplc="39DE4F4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1"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3"/>
  </w:num>
  <w:num w:numId="3" w16cid:durableId="550311602">
    <w:abstractNumId w:val="30"/>
  </w:num>
  <w:num w:numId="4" w16cid:durableId="1442384864">
    <w:abstractNumId w:val="8"/>
  </w:num>
  <w:num w:numId="5" w16cid:durableId="858856169">
    <w:abstractNumId w:val="11"/>
  </w:num>
  <w:num w:numId="6" w16cid:durableId="1778941285">
    <w:abstractNumId w:val="21"/>
  </w:num>
  <w:num w:numId="7" w16cid:durableId="1670985634">
    <w:abstractNumId w:val="32"/>
  </w:num>
  <w:num w:numId="8" w16cid:durableId="1465075794">
    <w:abstractNumId w:val="12"/>
  </w:num>
  <w:num w:numId="9" w16cid:durableId="1120950928">
    <w:abstractNumId w:val="22"/>
  </w:num>
  <w:num w:numId="10" w16cid:durableId="1867672630">
    <w:abstractNumId w:val="28"/>
  </w:num>
  <w:num w:numId="11" w16cid:durableId="1292441941">
    <w:abstractNumId w:val="15"/>
  </w:num>
  <w:num w:numId="12" w16cid:durableId="535775843">
    <w:abstractNumId w:val="25"/>
  </w:num>
  <w:num w:numId="13" w16cid:durableId="882788155">
    <w:abstractNumId w:val="34"/>
  </w:num>
  <w:num w:numId="14" w16cid:durableId="1976452099">
    <w:abstractNumId w:val="31"/>
  </w:num>
  <w:num w:numId="15" w16cid:durableId="1792629629">
    <w:abstractNumId w:val="35"/>
  </w:num>
  <w:num w:numId="16" w16cid:durableId="1600018535">
    <w:abstractNumId w:val="9"/>
  </w:num>
  <w:num w:numId="17" w16cid:durableId="1774787898">
    <w:abstractNumId w:val="13"/>
  </w:num>
  <w:num w:numId="18" w16cid:durableId="1104881660">
    <w:abstractNumId w:val="18"/>
  </w:num>
  <w:num w:numId="19" w16cid:durableId="92632144">
    <w:abstractNumId w:val="24"/>
  </w:num>
  <w:num w:numId="20" w16cid:durableId="2108039559">
    <w:abstractNumId w:val="19"/>
  </w:num>
  <w:num w:numId="21" w16cid:durableId="641354061">
    <w:abstractNumId w:val="17"/>
  </w:num>
  <w:num w:numId="22" w16cid:durableId="1322194723">
    <w:abstractNumId w:val="14"/>
  </w:num>
  <w:num w:numId="23" w16cid:durableId="1470393616">
    <w:abstractNumId w:val="20"/>
  </w:num>
  <w:num w:numId="24" w16cid:durableId="581110854">
    <w:abstractNumId w:val="7"/>
  </w:num>
  <w:num w:numId="25" w16cid:durableId="1364792100">
    <w:abstractNumId w:val="3"/>
  </w:num>
  <w:num w:numId="26" w16cid:durableId="286935695">
    <w:abstractNumId w:val="10"/>
  </w:num>
  <w:num w:numId="27" w16cid:durableId="2141067581">
    <w:abstractNumId w:val="5"/>
  </w:num>
  <w:num w:numId="28" w16cid:durableId="1629048879">
    <w:abstractNumId w:val="23"/>
  </w:num>
  <w:num w:numId="29" w16cid:durableId="16544730">
    <w:abstractNumId w:val="2"/>
  </w:num>
  <w:num w:numId="30" w16cid:durableId="834733564">
    <w:abstractNumId w:val="0"/>
  </w:num>
  <w:num w:numId="31" w16cid:durableId="794910256">
    <w:abstractNumId w:val="27"/>
  </w:num>
  <w:num w:numId="32" w16cid:durableId="2069304427">
    <w:abstractNumId w:val="26"/>
  </w:num>
  <w:num w:numId="33" w16cid:durableId="1488740681">
    <w:abstractNumId w:val="1"/>
  </w:num>
  <w:num w:numId="34" w16cid:durableId="709652632">
    <w:abstractNumId w:val="4"/>
  </w:num>
  <w:num w:numId="35" w16cid:durableId="1975674701">
    <w:abstractNumId w:val="29"/>
  </w:num>
  <w:num w:numId="36" w16cid:durableId="7921407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3AB"/>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2B3"/>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692"/>
    <w:rsid w:val="001168B4"/>
    <w:rsid w:val="0011779E"/>
    <w:rsid w:val="0012110D"/>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565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15CC"/>
    <w:rsid w:val="001D25EB"/>
    <w:rsid w:val="001D334B"/>
    <w:rsid w:val="001D44A8"/>
    <w:rsid w:val="001D640E"/>
    <w:rsid w:val="001D697E"/>
    <w:rsid w:val="001D761F"/>
    <w:rsid w:val="001D7B0E"/>
    <w:rsid w:val="001D7BE9"/>
    <w:rsid w:val="001E00C3"/>
    <w:rsid w:val="001E177D"/>
    <w:rsid w:val="001E3329"/>
    <w:rsid w:val="001E3504"/>
    <w:rsid w:val="001E3B5E"/>
    <w:rsid w:val="001E5E28"/>
    <w:rsid w:val="001E6880"/>
    <w:rsid w:val="001F054B"/>
    <w:rsid w:val="001F10BB"/>
    <w:rsid w:val="001F18BC"/>
    <w:rsid w:val="001F221A"/>
    <w:rsid w:val="001F3471"/>
    <w:rsid w:val="001F3513"/>
    <w:rsid w:val="00200793"/>
    <w:rsid w:val="00200825"/>
    <w:rsid w:val="00200900"/>
    <w:rsid w:val="00201566"/>
    <w:rsid w:val="00201D2E"/>
    <w:rsid w:val="0020269F"/>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3028"/>
    <w:rsid w:val="002469C0"/>
    <w:rsid w:val="00247F5A"/>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2908"/>
    <w:rsid w:val="00323358"/>
    <w:rsid w:val="00327DD2"/>
    <w:rsid w:val="00330197"/>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453"/>
    <w:rsid w:val="0035485E"/>
    <w:rsid w:val="00354DAC"/>
    <w:rsid w:val="00354E9D"/>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0B82"/>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1466"/>
    <w:rsid w:val="003F2F26"/>
    <w:rsid w:val="003F4E1B"/>
    <w:rsid w:val="003F61C8"/>
    <w:rsid w:val="003F7174"/>
    <w:rsid w:val="003F77CD"/>
    <w:rsid w:val="003F7CE1"/>
    <w:rsid w:val="004005AD"/>
    <w:rsid w:val="0040433E"/>
    <w:rsid w:val="0040639E"/>
    <w:rsid w:val="004068FD"/>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67D7"/>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261"/>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60A7"/>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224C"/>
    <w:rsid w:val="00673B99"/>
    <w:rsid w:val="0067414E"/>
    <w:rsid w:val="0067465B"/>
    <w:rsid w:val="00675A34"/>
    <w:rsid w:val="00676274"/>
    <w:rsid w:val="00676566"/>
    <w:rsid w:val="00676C5E"/>
    <w:rsid w:val="00680923"/>
    <w:rsid w:val="006818D7"/>
    <w:rsid w:val="006847C4"/>
    <w:rsid w:val="00684E9F"/>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31F4"/>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179FB"/>
    <w:rsid w:val="00820D00"/>
    <w:rsid w:val="008215CC"/>
    <w:rsid w:val="008215D9"/>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B7E18"/>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4B94"/>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48ED"/>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217"/>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2B9"/>
    <w:rsid w:val="00B827A6"/>
    <w:rsid w:val="00B82BF1"/>
    <w:rsid w:val="00B83929"/>
    <w:rsid w:val="00B83947"/>
    <w:rsid w:val="00B83C9F"/>
    <w:rsid w:val="00B8481E"/>
    <w:rsid w:val="00B84CE5"/>
    <w:rsid w:val="00B90449"/>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3059"/>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1A6E"/>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7FA"/>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1C0C"/>
    <w:rsid w:val="00C62A62"/>
    <w:rsid w:val="00C62E72"/>
    <w:rsid w:val="00C64881"/>
    <w:rsid w:val="00C66085"/>
    <w:rsid w:val="00C66913"/>
    <w:rsid w:val="00C66F75"/>
    <w:rsid w:val="00C679ED"/>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4A90"/>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667"/>
    <w:rsid w:val="00D42D2F"/>
    <w:rsid w:val="00D43039"/>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0A5D"/>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5B97"/>
    <w:rsid w:val="00DB2B13"/>
    <w:rsid w:val="00DB2C8A"/>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3FD3"/>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4EB2"/>
    <w:rsid w:val="00F2605C"/>
    <w:rsid w:val="00F2787B"/>
    <w:rsid w:val="00F30D48"/>
    <w:rsid w:val="00F33D4D"/>
    <w:rsid w:val="00F34F4D"/>
    <w:rsid w:val="00F36C40"/>
    <w:rsid w:val="00F409E2"/>
    <w:rsid w:val="00F42445"/>
    <w:rsid w:val="00F43EB4"/>
    <w:rsid w:val="00F4466D"/>
    <w:rsid w:val="00F466BB"/>
    <w:rsid w:val="00F506CC"/>
    <w:rsid w:val="00F513F5"/>
    <w:rsid w:val="00F5223B"/>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2E54"/>
    <w:rsid w:val="00F83343"/>
    <w:rsid w:val="00F837D2"/>
    <w:rsid w:val="00F8514B"/>
    <w:rsid w:val="00F85ED6"/>
    <w:rsid w:val="00F913E8"/>
    <w:rsid w:val="00F91410"/>
    <w:rsid w:val="00F91890"/>
    <w:rsid w:val="00F91E07"/>
    <w:rsid w:val="00F92B16"/>
    <w:rsid w:val="00F92DD6"/>
    <w:rsid w:val="00F93211"/>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D42667"/>
    <w:pPr>
      <w:numPr>
        <w:numId w:val="33"/>
      </w:numPr>
      <w:spacing w:before="20" w:after="20"/>
    </w:pPr>
    <w:rPr>
      <w:rFonts w:eastAsia="MS Mincho" w:cs="Arial"/>
      <w:bCs/>
      <w:color w:val="000000"/>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559442976">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44715717">
      <w:bodyDiv w:val="1"/>
      <w:marLeft w:val="0"/>
      <w:marRight w:val="0"/>
      <w:marTop w:val="0"/>
      <w:marBottom w:val="0"/>
      <w:divBdr>
        <w:top w:val="none" w:sz="0" w:space="0" w:color="auto"/>
        <w:left w:val="none" w:sz="0" w:space="0" w:color="auto"/>
        <w:bottom w:val="none" w:sz="0" w:space="0" w:color="auto"/>
        <w:right w:val="none" w:sz="0" w:space="0" w:color="auto"/>
      </w:divBdr>
      <w:divsChild>
        <w:div w:id="210239944">
          <w:marLeft w:val="720"/>
          <w:marRight w:val="0"/>
          <w:marTop w:val="120"/>
          <w:marBottom w:val="120"/>
          <w:divBdr>
            <w:top w:val="none" w:sz="0" w:space="0" w:color="auto"/>
            <w:left w:val="none" w:sz="0" w:space="0" w:color="auto"/>
            <w:bottom w:val="none" w:sz="0" w:space="0" w:color="auto"/>
            <w:right w:val="none" w:sz="0" w:space="0" w:color="auto"/>
          </w:divBdr>
        </w:div>
        <w:div w:id="336080183">
          <w:marLeft w:val="720"/>
          <w:marRight w:val="0"/>
          <w:marTop w:val="120"/>
          <w:marBottom w:val="120"/>
          <w:divBdr>
            <w:top w:val="none" w:sz="0" w:space="0" w:color="auto"/>
            <w:left w:val="none" w:sz="0" w:space="0" w:color="auto"/>
            <w:bottom w:val="none" w:sz="0" w:space="0" w:color="auto"/>
            <w:right w:val="none" w:sz="0" w:space="0" w:color="auto"/>
          </w:divBdr>
        </w:div>
        <w:div w:id="1467510603">
          <w:marLeft w:val="720"/>
          <w:marRight w:val="0"/>
          <w:marTop w:val="120"/>
          <w:marBottom w:val="12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1001</Words>
  <Characters>6692</Characters>
  <Application>Microsoft Office Word</Application>
  <DocSecurity>0</DocSecurity>
  <Lines>195</Lines>
  <Paragraphs>77</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Thobois, Camille</cp:lastModifiedBy>
  <cp:revision>34</cp:revision>
  <cp:lastPrinted>2014-08-21T13:59:00Z</cp:lastPrinted>
  <dcterms:created xsi:type="dcterms:W3CDTF">2025-06-13T12:54:00Z</dcterms:created>
  <dcterms:modified xsi:type="dcterms:W3CDTF">2026-04-20T10:00:00Z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