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3B7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680A5A3" wp14:editId="105F069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9A43A2" w14:textId="1BE3DEC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C05C0">
                              <w:rPr>
                                <w:color w:val="FFFFFF"/>
                                <w:sz w:val="44"/>
                                <w:szCs w:val="44"/>
                                <w:lang w:val="en-AU"/>
                              </w:rPr>
                              <w:t>PDU Senior Admin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680A5A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29A43A2" w14:textId="1BE3DEC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C05C0">
                        <w:rPr>
                          <w:color w:val="FFFFFF"/>
                          <w:sz w:val="44"/>
                          <w:szCs w:val="44"/>
                          <w:lang w:val="en-AU"/>
                        </w:rPr>
                        <w:t>PDU Senior Admin</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88D181D" wp14:editId="47E2E60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D5D6D9E" w14:textId="77777777" w:rsidR="00366A73" w:rsidRPr="00366A73" w:rsidRDefault="00366A73" w:rsidP="00366A73"/>
    <w:p w14:paraId="2442FAC6" w14:textId="77777777" w:rsidR="00366A73" w:rsidRPr="00366A73" w:rsidRDefault="00366A73" w:rsidP="00366A73"/>
    <w:p w14:paraId="389B567F" w14:textId="77777777" w:rsidR="00366A73" w:rsidRPr="00366A73" w:rsidRDefault="00366A73" w:rsidP="00366A73"/>
    <w:p w14:paraId="3A521470" w14:textId="77777777" w:rsidR="00366A73" w:rsidRPr="00366A73" w:rsidRDefault="00366A73" w:rsidP="00366A73"/>
    <w:p w14:paraId="79E6DF68" w14:textId="77777777" w:rsidR="00366A73" w:rsidRDefault="00366A73" w:rsidP="00366A73"/>
    <w:p w14:paraId="29158701" w14:textId="77777777" w:rsidR="00366A73" w:rsidRPr="004256BC" w:rsidRDefault="00366A73"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4256BC" w14:paraId="418D51C0"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9E8EC55" w14:textId="77777777" w:rsidR="00366A73" w:rsidRPr="004256BC" w:rsidRDefault="00366A73" w:rsidP="00161F93">
            <w:pPr>
              <w:pStyle w:val="gris"/>
              <w:framePr w:hSpace="0" w:wrap="auto" w:vAnchor="margin" w:hAnchor="text" w:xAlign="left" w:yAlign="inline"/>
              <w:spacing w:before="20" w:after="20"/>
              <w:rPr>
                <w:b w:val="0"/>
                <w:sz w:val="22"/>
                <w:szCs w:val="22"/>
              </w:rPr>
            </w:pPr>
            <w:r w:rsidRPr="004256BC">
              <w:rPr>
                <w:b w:val="0"/>
                <w:sz w:val="22"/>
                <w:szCs w:val="22"/>
              </w:rPr>
              <w:t>Function:</w:t>
            </w:r>
          </w:p>
        </w:tc>
        <w:tc>
          <w:tcPr>
            <w:tcW w:w="7200" w:type="dxa"/>
            <w:gridSpan w:val="9"/>
            <w:tcBorders>
              <w:top w:val="single" w:sz="4" w:space="0" w:color="auto"/>
              <w:left w:val="nil"/>
              <w:bottom w:val="dotted" w:sz="2" w:space="0" w:color="auto"/>
              <w:right w:val="single" w:sz="4" w:space="0" w:color="auto"/>
            </w:tcBorders>
            <w:vAlign w:val="center"/>
          </w:tcPr>
          <w:p w14:paraId="37BF50D8" w14:textId="56503C15" w:rsidR="00366A73" w:rsidRPr="004256BC" w:rsidRDefault="00B50949" w:rsidP="00161F93">
            <w:pPr>
              <w:spacing w:before="20" w:after="20"/>
              <w:jc w:val="left"/>
              <w:rPr>
                <w:rFonts w:cs="Arial"/>
                <w:color w:val="000000"/>
                <w:sz w:val="22"/>
                <w:szCs w:val="22"/>
              </w:rPr>
            </w:pPr>
            <w:r w:rsidRPr="004256BC">
              <w:rPr>
                <w:rFonts w:cs="Arial"/>
                <w:color w:val="000000"/>
                <w:sz w:val="22"/>
                <w:szCs w:val="22"/>
              </w:rPr>
              <w:t>Performance Unit</w:t>
            </w:r>
          </w:p>
        </w:tc>
      </w:tr>
      <w:tr w:rsidR="00366A73" w:rsidRPr="004256BC" w14:paraId="6B19D6B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5860013" w14:textId="77777777" w:rsidR="00366A73" w:rsidRPr="004256BC" w:rsidRDefault="004B2221" w:rsidP="00161F93">
            <w:pPr>
              <w:pStyle w:val="gris"/>
              <w:framePr w:hSpace="0" w:wrap="auto" w:vAnchor="margin" w:hAnchor="text" w:xAlign="left" w:yAlign="inline"/>
              <w:spacing w:before="20" w:after="20"/>
              <w:rPr>
                <w:b w:val="0"/>
                <w:sz w:val="22"/>
                <w:szCs w:val="22"/>
              </w:rPr>
            </w:pPr>
            <w:r w:rsidRPr="004256BC">
              <w:rPr>
                <w:b w:val="0"/>
                <w:sz w:val="22"/>
                <w:szCs w:val="22"/>
              </w:rPr>
              <w:t>Job:</w:t>
            </w:r>
            <w:r w:rsidR="00366A73" w:rsidRPr="004256BC">
              <w:rPr>
                <w:b w:val="0"/>
                <w:sz w:val="22"/>
                <w:szCs w:val="22"/>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60BDC420" w14:textId="5AC5CA84" w:rsidR="00366A73" w:rsidRPr="004256BC" w:rsidRDefault="00811751" w:rsidP="00161F93">
            <w:pPr>
              <w:pStyle w:val="Heading2"/>
              <w:rPr>
                <w:rFonts w:cs="Arial"/>
                <w:b w:val="0"/>
                <w:sz w:val="22"/>
                <w:szCs w:val="22"/>
                <w:lang w:val="en-CA"/>
              </w:rPr>
            </w:pPr>
            <w:r w:rsidRPr="004256BC">
              <w:rPr>
                <w:rFonts w:cs="Arial"/>
                <w:b w:val="0"/>
                <w:sz w:val="22"/>
                <w:szCs w:val="22"/>
                <w:lang w:val="en-CA"/>
              </w:rPr>
              <w:t>Senior Administrator</w:t>
            </w:r>
            <w:r w:rsidR="00925D37" w:rsidRPr="004256BC">
              <w:rPr>
                <w:rFonts w:cs="Arial"/>
                <w:b w:val="0"/>
                <w:sz w:val="22"/>
                <w:szCs w:val="22"/>
                <w:lang w:val="en-CA"/>
              </w:rPr>
              <w:t xml:space="preserve"> </w:t>
            </w:r>
          </w:p>
        </w:tc>
      </w:tr>
      <w:tr w:rsidR="00B50949" w:rsidRPr="004256BC" w14:paraId="76A3BB4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94E20B0" w14:textId="77777777" w:rsidR="00B50949" w:rsidRPr="004256BC" w:rsidRDefault="00B50949" w:rsidP="00B50949">
            <w:pPr>
              <w:pStyle w:val="gris"/>
              <w:framePr w:hSpace="0" w:wrap="auto" w:vAnchor="margin" w:hAnchor="text" w:xAlign="left" w:yAlign="inline"/>
              <w:spacing w:before="20" w:after="20"/>
              <w:rPr>
                <w:b w:val="0"/>
                <w:sz w:val="22"/>
                <w:szCs w:val="22"/>
              </w:rPr>
            </w:pPr>
            <w:r w:rsidRPr="004256BC">
              <w:rPr>
                <w:b w:val="0"/>
                <w:sz w:val="22"/>
                <w:szCs w:val="22"/>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548D86E" w14:textId="0DAA1B42" w:rsidR="00B50949" w:rsidRPr="004256BC" w:rsidRDefault="00F4618B" w:rsidP="00B50949">
            <w:pPr>
              <w:spacing w:before="20" w:after="20"/>
              <w:jc w:val="left"/>
              <w:rPr>
                <w:rFonts w:cs="Arial"/>
                <w:color w:val="000000"/>
                <w:sz w:val="22"/>
                <w:szCs w:val="22"/>
              </w:rPr>
            </w:pPr>
            <w:r w:rsidRPr="004256BC">
              <w:rPr>
                <w:rFonts w:cs="Arial"/>
                <w:color w:val="000000"/>
                <w:sz w:val="22"/>
                <w:szCs w:val="22"/>
              </w:rPr>
              <w:t>Senior Administrator</w:t>
            </w:r>
            <w:r w:rsidR="00965163">
              <w:rPr>
                <w:rFonts w:cs="Arial"/>
                <w:color w:val="000000"/>
                <w:sz w:val="22"/>
                <w:szCs w:val="22"/>
              </w:rPr>
              <w:t xml:space="preserve"> Quality &amp; Assurance</w:t>
            </w:r>
          </w:p>
        </w:tc>
      </w:tr>
      <w:tr w:rsidR="00B50949" w:rsidRPr="004256BC" w14:paraId="2D80E66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50318" w14:textId="77777777" w:rsidR="00B50949" w:rsidRPr="004256BC" w:rsidRDefault="00B50949" w:rsidP="00B50949">
            <w:pPr>
              <w:pStyle w:val="gris"/>
              <w:framePr w:hSpace="0" w:wrap="auto" w:vAnchor="margin" w:hAnchor="text" w:xAlign="left" w:yAlign="inline"/>
              <w:spacing w:before="20" w:after="20"/>
              <w:rPr>
                <w:b w:val="0"/>
                <w:sz w:val="22"/>
                <w:szCs w:val="22"/>
              </w:rPr>
            </w:pPr>
            <w:r w:rsidRPr="004256BC">
              <w:rPr>
                <w:b w:val="0"/>
                <w:sz w:val="22"/>
                <w:szCs w:val="22"/>
              </w:rPr>
              <w:t>Job holder:</w:t>
            </w:r>
          </w:p>
        </w:tc>
        <w:tc>
          <w:tcPr>
            <w:tcW w:w="7200" w:type="dxa"/>
            <w:gridSpan w:val="9"/>
            <w:tcBorders>
              <w:top w:val="dotted" w:sz="2" w:space="0" w:color="auto"/>
              <w:left w:val="nil"/>
              <w:bottom w:val="dotted" w:sz="2" w:space="0" w:color="auto"/>
              <w:right w:val="single" w:sz="4" w:space="0" w:color="auto"/>
            </w:tcBorders>
            <w:vAlign w:val="center"/>
          </w:tcPr>
          <w:p w14:paraId="126450EA" w14:textId="4144CABB" w:rsidR="00B50949" w:rsidRPr="004256BC" w:rsidRDefault="00F25ADF" w:rsidP="00B50949">
            <w:pPr>
              <w:spacing w:before="20" w:after="20"/>
              <w:jc w:val="left"/>
              <w:rPr>
                <w:rFonts w:cs="Arial"/>
                <w:color w:val="000000"/>
                <w:sz w:val="22"/>
                <w:szCs w:val="22"/>
              </w:rPr>
            </w:pPr>
            <w:r w:rsidRPr="004256BC">
              <w:rPr>
                <w:rFonts w:cs="Arial"/>
                <w:color w:val="000000"/>
                <w:sz w:val="22"/>
                <w:szCs w:val="22"/>
              </w:rPr>
              <w:t>-</w:t>
            </w:r>
          </w:p>
        </w:tc>
      </w:tr>
      <w:tr w:rsidR="00B50949" w:rsidRPr="004256BC" w14:paraId="24961EE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51382D0" w14:textId="77777777" w:rsidR="00B50949" w:rsidRPr="004256BC" w:rsidRDefault="00B50949" w:rsidP="00B50949">
            <w:pPr>
              <w:pStyle w:val="gris"/>
              <w:framePr w:hSpace="0" w:wrap="auto" w:vAnchor="margin" w:hAnchor="text" w:xAlign="left" w:yAlign="inline"/>
              <w:spacing w:before="20" w:after="20"/>
              <w:rPr>
                <w:b w:val="0"/>
                <w:sz w:val="22"/>
                <w:szCs w:val="22"/>
              </w:rPr>
            </w:pPr>
            <w:r w:rsidRPr="004256BC">
              <w:rPr>
                <w:b w:val="0"/>
                <w:sz w:val="22"/>
                <w:szCs w:val="22"/>
              </w:rPr>
              <w:t>Date (in job since):</w:t>
            </w:r>
          </w:p>
        </w:tc>
        <w:tc>
          <w:tcPr>
            <w:tcW w:w="7200" w:type="dxa"/>
            <w:gridSpan w:val="9"/>
            <w:tcBorders>
              <w:top w:val="dotted" w:sz="2" w:space="0" w:color="auto"/>
              <w:left w:val="nil"/>
              <w:bottom w:val="dotted" w:sz="4" w:space="0" w:color="auto"/>
              <w:right w:val="single" w:sz="4" w:space="0" w:color="auto"/>
            </w:tcBorders>
            <w:vAlign w:val="center"/>
          </w:tcPr>
          <w:p w14:paraId="188E4267" w14:textId="77777777" w:rsidR="00B50949" w:rsidRPr="004256BC" w:rsidRDefault="00B50949" w:rsidP="00B50949">
            <w:pPr>
              <w:spacing w:before="20" w:after="20"/>
              <w:jc w:val="left"/>
              <w:rPr>
                <w:rFonts w:cs="Arial"/>
                <w:color w:val="000000"/>
                <w:sz w:val="22"/>
                <w:szCs w:val="22"/>
              </w:rPr>
            </w:pPr>
          </w:p>
        </w:tc>
      </w:tr>
      <w:tr w:rsidR="00B50949" w:rsidRPr="004256BC" w14:paraId="397A298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E2CEB5F" w14:textId="77777777" w:rsidR="00B50949" w:rsidRPr="004256BC" w:rsidRDefault="00B50949" w:rsidP="00B50949">
            <w:pPr>
              <w:pStyle w:val="gris"/>
              <w:framePr w:hSpace="0" w:wrap="auto" w:vAnchor="margin" w:hAnchor="text" w:xAlign="left" w:yAlign="inline"/>
              <w:spacing w:before="20" w:after="20"/>
              <w:rPr>
                <w:b w:val="0"/>
                <w:sz w:val="22"/>
                <w:szCs w:val="22"/>
              </w:rPr>
            </w:pPr>
            <w:r w:rsidRPr="004256BC">
              <w:rPr>
                <w:b w:val="0"/>
                <w:sz w:val="22"/>
                <w:szCs w:val="22"/>
              </w:rPr>
              <w:t xml:space="preserve">Immediate manager </w:t>
            </w:r>
            <w:r w:rsidRPr="004256BC">
              <w:rPr>
                <w:b w:val="0"/>
                <w:sz w:val="22"/>
                <w:szCs w:val="22"/>
              </w:rPr>
              <w:b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C4E78BA" w14:textId="0BB73413" w:rsidR="00B50949" w:rsidRPr="004256BC" w:rsidRDefault="00B50949" w:rsidP="00B50949">
            <w:pPr>
              <w:spacing w:before="20" w:after="20"/>
              <w:jc w:val="left"/>
              <w:rPr>
                <w:rFonts w:cs="Arial"/>
                <w:color w:val="000000"/>
                <w:sz w:val="22"/>
                <w:szCs w:val="22"/>
              </w:rPr>
            </w:pPr>
            <w:r w:rsidRPr="004256BC">
              <w:rPr>
                <w:rFonts w:cs="Arial"/>
                <w:color w:val="000000"/>
                <w:sz w:val="22"/>
                <w:szCs w:val="22"/>
              </w:rPr>
              <w:t>Contract and Assurance</w:t>
            </w:r>
            <w:r w:rsidR="00965163">
              <w:rPr>
                <w:rFonts w:cs="Arial"/>
                <w:color w:val="000000"/>
                <w:sz w:val="22"/>
                <w:szCs w:val="22"/>
              </w:rPr>
              <w:t xml:space="preserve"> Manager</w:t>
            </w:r>
          </w:p>
        </w:tc>
      </w:tr>
      <w:tr w:rsidR="00B50949" w:rsidRPr="004256BC" w14:paraId="301F2EC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E98BF9F" w14:textId="77777777" w:rsidR="00B50949" w:rsidRPr="004256BC" w:rsidRDefault="00B50949" w:rsidP="00B50949">
            <w:pPr>
              <w:pStyle w:val="gris"/>
              <w:framePr w:hSpace="0" w:wrap="auto" w:vAnchor="margin" w:hAnchor="text" w:xAlign="left" w:yAlign="inline"/>
              <w:spacing w:before="20" w:after="20"/>
              <w:rPr>
                <w:b w:val="0"/>
                <w:sz w:val="22"/>
                <w:szCs w:val="22"/>
              </w:rPr>
            </w:pPr>
            <w:r w:rsidRPr="004256BC">
              <w:rPr>
                <w:b w:val="0"/>
                <w:sz w:val="22"/>
                <w:szCs w:val="22"/>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64FBEF7B" w14:textId="2297C952" w:rsidR="00B50949" w:rsidRPr="004256BC" w:rsidRDefault="00F25ADF" w:rsidP="00B50949">
            <w:pPr>
              <w:spacing w:before="20" w:after="20"/>
              <w:jc w:val="left"/>
              <w:rPr>
                <w:rFonts w:cs="Arial"/>
                <w:color w:val="000000"/>
                <w:sz w:val="22"/>
                <w:szCs w:val="22"/>
              </w:rPr>
            </w:pPr>
            <w:r w:rsidRPr="004256BC">
              <w:rPr>
                <w:rFonts w:cs="Arial"/>
                <w:color w:val="000000"/>
                <w:sz w:val="22"/>
                <w:szCs w:val="22"/>
              </w:rPr>
              <w:t>-</w:t>
            </w:r>
          </w:p>
        </w:tc>
      </w:tr>
      <w:tr w:rsidR="00B50949" w:rsidRPr="004256BC" w14:paraId="5B57F954"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752741E" w14:textId="77777777" w:rsidR="00B50949" w:rsidRPr="004256BC" w:rsidRDefault="00B50949" w:rsidP="00B50949">
            <w:pPr>
              <w:pStyle w:val="gris"/>
              <w:framePr w:hSpace="0" w:wrap="auto" w:vAnchor="margin" w:hAnchor="text" w:xAlign="left" w:yAlign="inline"/>
              <w:spacing w:before="20" w:after="20"/>
              <w:rPr>
                <w:b w:val="0"/>
                <w:sz w:val="22"/>
                <w:szCs w:val="22"/>
              </w:rPr>
            </w:pPr>
            <w:r w:rsidRPr="004256BC">
              <w:rPr>
                <w:b w:val="0"/>
                <w:sz w:val="22"/>
                <w:szCs w:val="22"/>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713D64FC" w14:textId="36C511B3" w:rsidR="00B50949" w:rsidRPr="004256BC" w:rsidRDefault="00F25ADF" w:rsidP="00B50949">
            <w:pPr>
              <w:spacing w:before="20" w:after="20"/>
              <w:jc w:val="left"/>
              <w:rPr>
                <w:rFonts w:cs="Arial"/>
                <w:color w:val="000000"/>
                <w:sz w:val="22"/>
                <w:szCs w:val="22"/>
              </w:rPr>
            </w:pPr>
            <w:r w:rsidRPr="004256BC">
              <w:rPr>
                <w:rFonts w:cs="Arial"/>
                <w:color w:val="000000"/>
                <w:sz w:val="22"/>
                <w:szCs w:val="22"/>
              </w:rPr>
              <w:t>HMP Peterborough</w:t>
            </w:r>
          </w:p>
        </w:tc>
      </w:tr>
      <w:tr w:rsidR="00B50949" w:rsidRPr="004256BC" w14:paraId="37F2E9E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904E700" w14:textId="77777777" w:rsidR="00B50949" w:rsidRPr="004256BC" w:rsidRDefault="00B50949" w:rsidP="00B50949">
            <w:pPr>
              <w:jc w:val="left"/>
              <w:rPr>
                <w:rFonts w:cs="Arial"/>
                <w:sz w:val="22"/>
                <w:szCs w:val="22"/>
              </w:rPr>
            </w:pPr>
          </w:p>
          <w:p w14:paraId="2C1EE2E3" w14:textId="77777777" w:rsidR="00B50949" w:rsidRPr="004256BC" w:rsidRDefault="00B50949" w:rsidP="00B50949">
            <w:pPr>
              <w:jc w:val="left"/>
              <w:rPr>
                <w:rFonts w:cs="Arial"/>
                <w:sz w:val="22"/>
                <w:szCs w:val="22"/>
              </w:rPr>
            </w:pPr>
          </w:p>
        </w:tc>
      </w:tr>
      <w:tr w:rsidR="00B50949" w:rsidRPr="004256BC" w14:paraId="384DAD1C"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D04B2D6" w14:textId="77777777" w:rsidR="00B50949" w:rsidRPr="004256BC" w:rsidRDefault="00B50949" w:rsidP="00B50949">
            <w:pPr>
              <w:pStyle w:val="titregris"/>
              <w:framePr w:hSpace="0" w:wrap="auto" w:vAnchor="margin" w:hAnchor="text" w:xAlign="left" w:yAlign="inline"/>
              <w:ind w:left="0" w:firstLine="0"/>
              <w:rPr>
                <w:b w:val="0"/>
                <w:sz w:val="22"/>
                <w:szCs w:val="22"/>
              </w:rPr>
            </w:pPr>
            <w:r w:rsidRPr="004256BC">
              <w:rPr>
                <w:color w:val="FF0000"/>
                <w:sz w:val="22"/>
                <w:szCs w:val="22"/>
              </w:rPr>
              <w:t xml:space="preserve">1.  </w:t>
            </w:r>
            <w:r w:rsidRPr="004256BC">
              <w:rPr>
                <w:sz w:val="22"/>
                <w:szCs w:val="22"/>
              </w:rPr>
              <w:t xml:space="preserve">Purpose of the Job </w:t>
            </w:r>
            <w:r w:rsidRPr="004256BC">
              <w:rPr>
                <w:b w:val="0"/>
                <w:sz w:val="22"/>
                <w:szCs w:val="22"/>
              </w:rPr>
              <w:t>– State concisely the aim of the job</w:t>
            </w:r>
            <w:r w:rsidRPr="004256BC">
              <w:rPr>
                <w:sz w:val="22"/>
                <w:szCs w:val="22"/>
              </w:rPr>
              <w:t xml:space="preserve">.  </w:t>
            </w:r>
          </w:p>
        </w:tc>
      </w:tr>
      <w:tr w:rsidR="00B50949" w:rsidRPr="004256BC" w14:paraId="4C3D5912"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84729EF" w14:textId="4D6523E8" w:rsidR="00F97051" w:rsidRPr="004256BC" w:rsidRDefault="00F97051" w:rsidP="00F97051">
            <w:pPr>
              <w:pStyle w:val="NormalWeb"/>
              <w:rPr>
                <w:rFonts w:ascii="Arial" w:hAnsi="Arial" w:cs="Arial"/>
                <w:sz w:val="22"/>
                <w:szCs w:val="22"/>
                <w:lang w:val="en-GB" w:eastAsia="en-GB"/>
              </w:rPr>
            </w:pPr>
            <w:r w:rsidRPr="004256BC">
              <w:rPr>
                <w:rFonts w:ascii="Arial" w:hAnsi="Arial" w:cs="Arial"/>
                <w:sz w:val="22"/>
                <w:szCs w:val="22"/>
              </w:rPr>
              <w:t>The Senior Administrator for Quality and Assurance plays a critical leadership role in driving effective delivery and continuous improvement of contractual and operational performance across the establishment. This role provides strategic oversight of the Performance and Delivery Unit (PDU), ensuring robust systems are in place to monitor performance, manage risk, and support excellence in service delivery.</w:t>
            </w:r>
          </w:p>
          <w:p w14:paraId="7D2061CE" w14:textId="77777777" w:rsidR="00F97051" w:rsidRPr="004256BC" w:rsidRDefault="00F97051" w:rsidP="00F97051">
            <w:pPr>
              <w:pStyle w:val="NormalWeb"/>
              <w:rPr>
                <w:rFonts w:ascii="Arial" w:hAnsi="Arial" w:cs="Arial"/>
                <w:sz w:val="22"/>
                <w:szCs w:val="22"/>
              </w:rPr>
            </w:pPr>
            <w:r w:rsidRPr="004256BC">
              <w:rPr>
                <w:rFonts w:ascii="Arial" w:hAnsi="Arial" w:cs="Arial"/>
                <w:sz w:val="22"/>
                <w:szCs w:val="22"/>
              </w:rPr>
              <w:t>Key responsibilities include:</w:t>
            </w:r>
          </w:p>
          <w:p w14:paraId="5E550D93" w14:textId="77777777" w:rsidR="00F97051" w:rsidRPr="00965163" w:rsidRDefault="00F97051" w:rsidP="00F97051">
            <w:pPr>
              <w:pStyle w:val="NormalWeb"/>
              <w:numPr>
                <w:ilvl w:val="0"/>
                <w:numId w:val="19"/>
              </w:numPr>
              <w:rPr>
                <w:rFonts w:ascii="Arial" w:hAnsi="Arial" w:cs="Arial"/>
                <w:sz w:val="22"/>
                <w:szCs w:val="22"/>
              </w:rPr>
            </w:pPr>
            <w:r w:rsidRPr="00965163">
              <w:rPr>
                <w:rStyle w:val="Strong"/>
                <w:rFonts w:ascii="Arial" w:hAnsi="Arial" w:cs="Arial"/>
                <w:sz w:val="22"/>
                <w:szCs w:val="22"/>
              </w:rPr>
              <w:t>Strategic Leadership of the PDU</w:t>
            </w:r>
            <w:r w:rsidRPr="00965163">
              <w:rPr>
                <w:rFonts w:ascii="Arial" w:hAnsi="Arial" w:cs="Arial"/>
                <w:sz w:val="22"/>
                <w:szCs w:val="22"/>
              </w:rPr>
              <w:t>: Provide effective line management of the PDU team, ensuring high standards in staff performance, development, and wellbeing, with oversight of attendance management, performance reviews, and capability frameworks.</w:t>
            </w:r>
          </w:p>
          <w:p w14:paraId="7FF6B669" w14:textId="77777777" w:rsidR="00F97051" w:rsidRPr="00965163" w:rsidRDefault="00F97051" w:rsidP="00F97051">
            <w:pPr>
              <w:pStyle w:val="NormalWeb"/>
              <w:numPr>
                <w:ilvl w:val="0"/>
                <w:numId w:val="19"/>
              </w:numPr>
              <w:rPr>
                <w:rFonts w:ascii="Arial" w:hAnsi="Arial" w:cs="Arial"/>
                <w:sz w:val="22"/>
                <w:szCs w:val="22"/>
              </w:rPr>
            </w:pPr>
            <w:r w:rsidRPr="00965163">
              <w:rPr>
                <w:rStyle w:val="Strong"/>
                <w:rFonts w:ascii="Arial" w:hAnsi="Arial" w:cs="Arial"/>
                <w:sz w:val="22"/>
                <w:szCs w:val="22"/>
              </w:rPr>
              <w:t>Contractual Compliance and Quality Assurance</w:t>
            </w:r>
            <w:r w:rsidRPr="00965163">
              <w:rPr>
                <w:rFonts w:ascii="Arial" w:hAnsi="Arial" w:cs="Arial"/>
                <w:sz w:val="22"/>
                <w:szCs w:val="22"/>
              </w:rPr>
              <w:t>: Lead on the assurance of all contractual deliverables, ensuring that service delivery consistently meets or exceeds the requirements set out in the Prison Services Agreement. Proactively identify risks or gaps in delivery and drive remedial action through performance monitoring, action planning, and stakeholder engagement.</w:t>
            </w:r>
          </w:p>
          <w:p w14:paraId="36C0DD92" w14:textId="77777777" w:rsidR="00F97051" w:rsidRPr="00965163" w:rsidRDefault="00F97051" w:rsidP="00F97051">
            <w:pPr>
              <w:pStyle w:val="NormalWeb"/>
              <w:numPr>
                <w:ilvl w:val="0"/>
                <w:numId w:val="19"/>
              </w:numPr>
              <w:rPr>
                <w:rFonts w:ascii="Arial" w:hAnsi="Arial" w:cs="Arial"/>
                <w:sz w:val="22"/>
                <w:szCs w:val="22"/>
              </w:rPr>
            </w:pPr>
            <w:r w:rsidRPr="00965163">
              <w:rPr>
                <w:rStyle w:val="Strong"/>
                <w:rFonts w:ascii="Arial" w:hAnsi="Arial" w:cs="Arial"/>
                <w:sz w:val="22"/>
                <w:szCs w:val="22"/>
              </w:rPr>
              <w:t>HMIP and External Inspection Readiness</w:t>
            </w:r>
            <w:r w:rsidRPr="00965163">
              <w:rPr>
                <w:rFonts w:ascii="Arial" w:hAnsi="Arial" w:cs="Arial"/>
                <w:sz w:val="22"/>
                <w:szCs w:val="22"/>
              </w:rPr>
              <w:t>: Act as the strategic lead for Her Majesty’s Inspectorate of Prisons (HMIP) inspection readiness, developing and maintaining assurance frameworks that demonstrate impact, compliance, and continuous improvement. Coordinate pre-inspection preparation, evidence gathering, and post-inspection responses in collaboration with operational and strategic partners.</w:t>
            </w:r>
          </w:p>
          <w:p w14:paraId="2000F498" w14:textId="77777777" w:rsidR="00F97051" w:rsidRPr="00965163" w:rsidRDefault="00F97051" w:rsidP="00F97051">
            <w:pPr>
              <w:pStyle w:val="NormalWeb"/>
              <w:numPr>
                <w:ilvl w:val="0"/>
                <w:numId w:val="19"/>
              </w:numPr>
              <w:rPr>
                <w:rFonts w:ascii="Arial" w:hAnsi="Arial" w:cs="Arial"/>
                <w:sz w:val="22"/>
                <w:szCs w:val="22"/>
              </w:rPr>
            </w:pPr>
            <w:r w:rsidRPr="00965163">
              <w:rPr>
                <w:rStyle w:val="Strong"/>
                <w:rFonts w:ascii="Arial" w:hAnsi="Arial" w:cs="Arial"/>
                <w:sz w:val="22"/>
                <w:szCs w:val="22"/>
              </w:rPr>
              <w:t>Oversight of Statutory and Legal Correspondence</w:t>
            </w:r>
            <w:r w:rsidRPr="00965163">
              <w:rPr>
                <w:rFonts w:ascii="Arial" w:hAnsi="Arial" w:cs="Arial"/>
                <w:sz w:val="22"/>
                <w:szCs w:val="22"/>
              </w:rPr>
              <w:t>: Ensure timely and accurate management of all formal communications, including complaints, litigation, Subject Access Requests (SARs), and Ministerial correspondence, in line with legal and regulatory requirements.</w:t>
            </w:r>
          </w:p>
          <w:p w14:paraId="17B9C167" w14:textId="002F1DEA" w:rsidR="00B50949" w:rsidRPr="004256BC" w:rsidRDefault="00F97051" w:rsidP="00F97051">
            <w:pPr>
              <w:pStyle w:val="NormalWeb"/>
              <w:numPr>
                <w:ilvl w:val="0"/>
                <w:numId w:val="19"/>
              </w:numPr>
              <w:rPr>
                <w:rFonts w:ascii="Arial" w:hAnsi="Arial" w:cs="Arial"/>
                <w:color w:val="000000" w:themeColor="text1"/>
                <w:sz w:val="22"/>
                <w:szCs w:val="22"/>
              </w:rPr>
            </w:pPr>
            <w:r w:rsidRPr="00965163">
              <w:rPr>
                <w:rStyle w:val="Strong"/>
                <w:rFonts w:ascii="Arial" w:hAnsi="Arial" w:cs="Arial"/>
                <w:sz w:val="22"/>
                <w:szCs w:val="22"/>
              </w:rPr>
              <w:t>Assurance Reporting and Governance</w:t>
            </w:r>
            <w:r w:rsidRPr="00965163">
              <w:rPr>
                <w:rFonts w:ascii="Arial" w:hAnsi="Arial" w:cs="Arial"/>
                <w:sz w:val="22"/>
                <w:szCs w:val="22"/>
              </w:rPr>
              <w:t>: Lead on the collation and support the analysis of assurance data, contributing to internal governance structures</w:t>
            </w:r>
            <w:r w:rsidRPr="004256BC">
              <w:rPr>
                <w:rFonts w:ascii="Arial" w:hAnsi="Arial" w:cs="Arial"/>
                <w:sz w:val="22"/>
                <w:szCs w:val="22"/>
              </w:rPr>
              <w:t xml:space="preserve"> and supporting the Senior Leadership Team with evidence-based insights to inform decision-making and strategic planning.</w:t>
            </w:r>
          </w:p>
        </w:tc>
      </w:tr>
      <w:tr w:rsidR="00B50949" w:rsidRPr="004256BC" w14:paraId="6732A73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88EDA68" w14:textId="77777777" w:rsidR="00B50949" w:rsidRPr="004256BC" w:rsidRDefault="00B50949" w:rsidP="00B50949">
            <w:pPr>
              <w:jc w:val="left"/>
              <w:rPr>
                <w:rFonts w:cs="Arial"/>
                <w:sz w:val="22"/>
                <w:szCs w:val="22"/>
              </w:rPr>
            </w:pPr>
          </w:p>
          <w:p w14:paraId="4B5DC3F0" w14:textId="77777777" w:rsidR="00B50949" w:rsidRPr="004256BC" w:rsidRDefault="00B50949" w:rsidP="00B50949">
            <w:pPr>
              <w:jc w:val="left"/>
              <w:rPr>
                <w:rFonts w:cs="Arial"/>
                <w:sz w:val="22"/>
                <w:szCs w:val="22"/>
              </w:rPr>
            </w:pPr>
          </w:p>
        </w:tc>
      </w:tr>
      <w:tr w:rsidR="00B50949" w:rsidRPr="004256BC" w14:paraId="05DA1894"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D4547A4" w14:textId="77777777" w:rsidR="00B50949" w:rsidRPr="004256BC" w:rsidRDefault="00B50949" w:rsidP="00B50949">
            <w:pPr>
              <w:pStyle w:val="titregris"/>
              <w:framePr w:hSpace="0" w:wrap="auto" w:vAnchor="margin" w:hAnchor="text" w:xAlign="left" w:yAlign="inline"/>
              <w:rPr>
                <w:sz w:val="22"/>
                <w:szCs w:val="22"/>
              </w:rPr>
            </w:pPr>
            <w:r w:rsidRPr="004256BC">
              <w:rPr>
                <w:color w:val="FF0000"/>
                <w:sz w:val="22"/>
                <w:szCs w:val="22"/>
              </w:rPr>
              <w:lastRenderedPageBreak/>
              <w:t>2.</w:t>
            </w:r>
            <w:r w:rsidRPr="004256BC">
              <w:rPr>
                <w:sz w:val="22"/>
                <w:szCs w:val="22"/>
              </w:rPr>
              <w:t xml:space="preserve"> </w:t>
            </w:r>
            <w:r w:rsidRPr="004256BC">
              <w:rPr>
                <w:sz w:val="22"/>
                <w:szCs w:val="22"/>
              </w:rPr>
              <w:tab/>
              <w:t xml:space="preserve">Dimensions </w:t>
            </w:r>
            <w:r w:rsidRPr="004256BC">
              <w:rPr>
                <w:b w:val="0"/>
                <w:sz w:val="22"/>
                <w:szCs w:val="22"/>
              </w:rPr>
              <w:t>– Point out the main figures / indicators to give some insight on the “volumes” managed by the position and/or the activity of the Department.</w:t>
            </w:r>
          </w:p>
        </w:tc>
      </w:tr>
      <w:tr w:rsidR="00B50949" w:rsidRPr="004256BC" w14:paraId="55CDBF31" w14:textId="77777777" w:rsidTr="00161F93">
        <w:trPr>
          <w:trHeight w:val="232"/>
        </w:trPr>
        <w:tc>
          <w:tcPr>
            <w:tcW w:w="1008" w:type="dxa"/>
            <w:vMerge w:val="restart"/>
            <w:tcBorders>
              <w:top w:val="dotted" w:sz="2" w:space="0" w:color="auto"/>
              <w:left w:val="single" w:sz="2" w:space="0" w:color="auto"/>
              <w:right w:val="nil"/>
            </w:tcBorders>
            <w:vAlign w:val="center"/>
          </w:tcPr>
          <w:p w14:paraId="1AED8982" w14:textId="77777777" w:rsidR="00B50949" w:rsidRPr="004256BC" w:rsidRDefault="00B50949" w:rsidP="00B50949">
            <w:pPr>
              <w:rPr>
                <w:rFonts w:cs="Arial"/>
                <w:sz w:val="22"/>
                <w:szCs w:val="22"/>
              </w:rPr>
            </w:pPr>
            <w:r w:rsidRPr="004256BC">
              <w:rPr>
                <w:rFonts w:cs="Arial"/>
                <w:sz w:val="22"/>
                <w:szCs w:val="22"/>
              </w:rPr>
              <w:t>Revenue FY13:</w:t>
            </w:r>
          </w:p>
        </w:tc>
        <w:tc>
          <w:tcPr>
            <w:tcW w:w="630" w:type="dxa"/>
            <w:gridSpan w:val="2"/>
            <w:vMerge w:val="restart"/>
            <w:tcBorders>
              <w:top w:val="dotted" w:sz="2" w:space="0" w:color="auto"/>
              <w:left w:val="nil"/>
              <w:right w:val="dotted" w:sz="2" w:space="0" w:color="auto"/>
            </w:tcBorders>
            <w:vAlign w:val="center"/>
          </w:tcPr>
          <w:p w14:paraId="25C10C5B" w14:textId="77777777" w:rsidR="00B50949" w:rsidRPr="004256BC" w:rsidRDefault="00B50949" w:rsidP="00B50949">
            <w:pPr>
              <w:rPr>
                <w:rFonts w:cs="Arial"/>
                <w:sz w:val="22"/>
                <w:szCs w:val="22"/>
              </w:rPr>
            </w:pPr>
            <w:r w:rsidRPr="004256BC">
              <w:rPr>
                <w:rFonts w:cs="Arial"/>
                <w:sz w:val="22"/>
                <w:szCs w:val="22"/>
              </w:rPr>
              <w:t>€tbc</w:t>
            </w:r>
          </w:p>
        </w:tc>
        <w:tc>
          <w:tcPr>
            <w:tcW w:w="1980" w:type="dxa"/>
            <w:gridSpan w:val="2"/>
            <w:tcBorders>
              <w:top w:val="dotted" w:sz="2" w:space="0" w:color="auto"/>
              <w:left w:val="dotted" w:sz="2" w:space="0" w:color="auto"/>
              <w:bottom w:val="dotted" w:sz="4" w:space="0" w:color="auto"/>
              <w:right w:val="nil"/>
            </w:tcBorders>
            <w:vAlign w:val="center"/>
          </w:tcPr>
          <w:p w14:paraId="7A03C783" w14:textId="77777777" w:rsidR="00B50949" w:rsidRPr="004256BC" w:rsidRDefault="00B50949" w:rsidP="00B50949">
            <w:pPr>
              <w:rPr>
                <w:rFonts w:cs="Arial"/>
                <w:sz w:val="22"/>
                <w:szCs w:val="22"/>
              </w:rPr>
            </w:pPr>
            <w:r w:rsidRPr="004256BC">
              <w:rPr>
                <w:rFonts w:cs="Arial"/>
                <w:sz w:val="22"/>
                <w:szCs w:val="22"/>
              </w:rPr>
              <w:t>EBIT growth:</w:t>
            </w:r>
          </w:p>
        </w:tc>
        <w:tc>
          <w:tcPr>
            <w:tcW w:w="540" w:type="dxa"/>
            <w:tcBorders>
              <w:top w:val="dotted" w:sz="2" w:space="0" w:color="auto"/>
              <w:left w:val="nil"/>
              <w:bottom w:val="dotted" w:sz="4" w:space="0" w:color="auto"/>
              <w:right w:val="dotted" w:sz="4" w:space="0" w:color="auto"/>
            </w:tcBorders>
            <w:vAlign w:val="center"/>
          </w:tcPr>
          <w:p w14:paraId="7E09DF3A" w14:textId="77777777" w:rsidR="00B50949" w:rsidRPr="004256BC" w:rsidRDefault="00B50949" w:rsidP="00B50949">
            <w:pPr>
              <w:rPr>
                <w:rFonts w:cs="Arial"/>
                <w:sz w:val="22"/>
                <w:szCs w:val="22"/>
              </w:rPr>
            </w:pPr>
            <w:r w:rsidRPr="004256BC">
              <w:rPr>
                <w:rFonts w:cs="Arial"/>
                <w:sz w:val="22"/>
                <w:szCs w:val="22"/>
              </w:rPr>
              <w:t>tbc</w:t>
            </w:r>
          </w:p>
        </w:tc>
        <w:tc>
          <w:tcPr>
            <w:tcW w:w="810" w:type="dxa"/>
            <w:vMerge w:val="restart"/>
            <w:tcBorders>
              <w:top w:val="dotted" w:sz="2" w:space="0" w:color="auto"/>
              <w:left w:val="dotted" w:sz="4" w:space="0" w:color="auto"/>
              <w:right w:val="nil"/>
            </w:tcBorders>
            <w:vAlign w:val="center"/>
          </w:tcPr>
          <w:p w14:paraId="5BC5B0F9" w14:textId="77777777" w:rsidR="00B50949" w:rsidRPr="004256BC" w:rsidRDefault="00B50949" w:rsidP="00B50949">
            <w:pPr>
              <w:rPr>
                <w:rFonts w:cs="Arial"/>
                <w:sz w:val="22"/>
                <w:szCs w:val="22"/>
              </w:rPr>
            </w:pPr>
            <w:r w:rsidRPr="004256BC">
              <w:rPr>
                <w:rFonts w:cs="Arial"/>
                <w:sz w:val="22"/>
                <w:szCs w:val="22"/>
              </w:rPr>
              <w:t>Growth type:</w:t>
            </w:r>
          </w:p>
        </w:tc>
        <w:tc>
          <w:tcPr>
            <w:tcW w:w="900" w:type="dxa"/>
            <w:vMerge w:val="restart"/>
            <w:tcBorders>
              <w:top w:val="dotted" w:sz="2" w:space="0" w:color="auto"/>
              <w:left w:val="nil"/>
              <w:right w:val="nil"/>
            </w:tcBorders>
            <w:vAlign w:val="center"/>
          </w:tcPr>
          <w:p w14:paraId="4A2338DE" w14:textId="77777777" w:rsidR="00B50949" w:rsidRPr="004256BC" w:rsidRDefault="00B50949" w:rsidP="00B50949">
            <w:pPr>
              <w:rPr>
                <w:rFonts w:cs="Arial"/>
                <w:sz w:val="22"/>
                <w:szCs w:val="22"/>
              </w:rPr>
            </w:pPr>
            <w:r w:rsidRPr="004256BC">
              <w:rPr>
                <w:rFonts w:cs="Arial"/>
                <w:sz w:val="22"/>
                <w:szCs w:val="22"/>
              </w:rPr>
              <w:t>n/a</w:t>
            </w:r>
          </w:p>
        </w:tc>
        <w:tc>
          <w:tcPr>
            <w:tcW w:w="1260" w:type="dxa"/>
            <w:vMerge w:val="restart"/>
            <w:tcBorders>
              <w:top w:val="dotted" w:sz="2" w:space="0" w:color="auto"/>
              <w:left w:val="dotted" w:sz="4" w:space="0" w:color="auto"/>
              <w:right w:val="nil"/>
            </w:tcBorders>
            <w:vAlign w:val="center"/>
          </w:tcPr>
          <w:p w14:paraId="44497284" w14:textId="77777777" w:rsidR="00B50949" w:rsidRPr="004256BC" w:rsidRDefault="00B50949" w:rsidP="00B50949">
            <w:pPr>
              <w:rPr>
                <w:rFonts w:cs="Arial"/>
                <w:sz w:val="22"/>
                <w:szCs w:val="22"/>
              </w:rPr>
            </w:pPr>
            <w:r w:rsidRPr="004256BC">
              <w:rPr>
                <w:rFonts w:cs="Arial"/>
                <w:sz w:val="22"/>
                <w:szCs w:val="22"/>
              </w:rPr>
              <w:t>Outsourcing rate:</w:t>
            </w:r>
          </w:p>
        </w:tc>
        <w:tc>
          <w:tcPr>
            <w:tcW w:w="540" w:type="dxa"/>
            <w:vMerge w:val="restart"/>
            <w:tcBorders>
              <w:top w:val="dotted" w:sz="2" w:space="0" w:color="auto"/>
              <w:left w:val="nil"/>
              <w:right w:val="dotted" w:sz="4" w:space="0" w:color="auto"/>
            </w:tcBorders>
            <w:vAlign w:val="center"/>
          </w:tcPr>
          <w:p w14:paraId="50BB11F0" w14:textId="77777777" w:rsidR="00B50949" w:rsidRPr="004256BC" w:rsidRDefault="00B50949" w:rsidP="00B50949">
            <w:pPr>
              <w:rPr>
                <w:rFonts w:cs="Arial"/>
                <w:sz w:val="22"/>
                <w:szCs w:val="22"/>
              </w:rPr>
            </w:pPr>
            <w:r w:rsidRPr="004256BC">
              <w:rPr>
                <w:rFonts w:cs="Arial"/>
                <w:sz w:val="22"/>
                <w:szCs w:val="22"/>
              </w:rPr>
              <w:t>n/a</w:t>
            </w:r>
          </w:p>
        </w:tc>
        <w:tc>
          <w:tcPr>
            <w:tcW w:w="1800" w:type="dxa"/>
            <w:vMerge w:val="restart"/>
            <w:tcBorders>
              <w:top w:val="dotted" w:sz="2" w:space="0" w:color="auto"/>
              <w:left w:val="dotted" w:sz="4" w:space="0" w:color="auto"/>
              <w:right w:val="nil"/>
            </w:tcBorders>
            <w:vAlign w:val="center"/>
          </w:tcPr>
          <w:p w14:paraId="33ABF1D0" w14:textId="77777777" w:rsidR="00B50949" w:rsidRPr="004256BC" w:rsidRDefault="00B50949" w:rsidP="00B50949">
            <w:pPr>
              <w:rPr>
                <w:rFonts w:cs="Arial"/>
                <w:sz w:val="22"/>
                <w:szCs w:val="22"/>
              </w:rPr>
            </w:pPr>
            <w:proofErr w:type="gramStart"/>
            <w:r w:rsidRPr="004256BC">
              <w:rPr>
                <w:rFonts w:cs="Arial"/>
                <w:sz w:val="22"/>
                <w:szCs w:val="22"/>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6668994B" w14:textId="77777777" w:rsidR="00B50949" w:rsidRPr="004256BC" w:rsidRDefault="00B50949" w:rsidP="00B50949">
            <w:pPr>
              <w:rPr>
                <w:rFonts w:cs="Arial"/>
                <w:sz w:val="22"/>
                <w:szCs w:val="22"/>
              </w:rPr>
            </w:pPr>
            <w:r w:rsidRPr="004256BC">
              <w:rPr>
                <w:rFonts w:cs="Arial"/>
                <w:sz w:val="22"/>
                <w:szCs w:val="22"/>
              </w:rPr>
              <w:t>tbc</w:t>
            </w:r>
          </w:p>
        </w:tc>
      </w:tr>
      <w:tr w:rsidR="00B50949" w:rsidRPr="004256BC" w14:paraId="2FBCE2AF" w14:textId="77777777" w:rsidTr="00161F93">
        <w:trPr>
          <w:trHeight w:val="263"/>
        </w:trPr>
        <w:tc>
          <w:tcPr>
            <w:tcW w:w="1008" w:type="dxa"/>
            <w:vMerge/>
            <w:tcBorders>
              <w:left w:val="single" w:sz="2" w:space="0" w:color="auto"/>
              <w:right w:val="nil"/>
            </w:tcBorders>
            <w:vAlign w:val="center"/>
          </w:tcPr>
          <w:p w14:paraId="512C98AF" w14:textId="77777777" w:rsidR="00B50949" w:rsidRPr="004256BC" w:rsidRDefault="00B50949" w:rsidP="00B50949">
            <w:pPr>
              <w:rPr>
                <w:rFonts w:cs="Arial"/>
                <w:sz w:val="22"/>
                <w:szCs w:val="22"/>
              </w:rPr>
            </w:pPr>
          </w:p>
        </w:tc>
        <w:tc>
          <w:tcPr>
            <w:tcW w:w="630" w:type="dxa"/>
            <w:gridSpan w:val="2"/>
            <w:vMerge/>
            <w:tcBorders>
              <w:left w:val="nil"/>
              <w:right w:val="dotted" w:sz="2" w:space="0" w:color="auto"/>
            </w:tcBorders>
            <w:vAlign w:val="center"/>
          </w:tcPr>
          <w:p w14:paraId="36EA6244" w14:textId="77777777" w:rsidR="00B50949" w:rsidRPr="004256BC" w:rsidRDefault="00B50949" w:rsidP="00B50949">
            <w:pPr>
              <w:rPr>
                <w:rFonts w:cs="Arial"/>
                <w:sz w:val="22"/>
                <w:szCs w:val="22"/>
              </w:rPr>
            </w:pPr>
          </w:p>
        </w:tc>
        <w:tc>
          <w:tcPr>
            <w:tcW w:w="1980" w:type="dxa"/>
            <w:gridSpan w:val="2"/>
            <w:tcBorders>
              <w:top w:val="dotted" w:sz="4" w:space="0" w:color="auto"/>
              <w:left w:val="dotted" w:sz="2" w:space="0" w:color="auto"/>
              <w:bottom w:val="dotted" w:sz="4" w:space="0" w:color="auto"/>
              <w:right w:val="nil"/>
            </w:tcBorders>
            <w:vAlign w:val="center"/>
          </w:tcPr>
          <w:p w14:paraId="58C8ABBC" w14:textId="77777777" w:rsidR="00B50949" w:rsidRPr="004256BC" w:rsidRDefault="00B50949" w:rsidP="00B50949">
            <w:pPr>
              <w:rPr>
                <w:rFonts w:cs="Arial"/>
                <w:sz w:val="22"/>
                <w:szCs w:val="22"/>
              </w:rPr>
            </w:pPr>
            <w:r w:rsidRPr="004256BC">
              <w:rPr>
                <w:rFonts w:cs="Arial"/>
                <w:sz w:val="22"/>
                <w:szCs w:val="22"/>
              </w:rPr>
              <w:t>EBIT margin:</w:t>
            </w:r>
          </w:p>
        </w:tc>
        <w:tc>
          <w:tcPr>
            <w:tcW w:w="540" w:type="dxa"/>
            <w:tcBorders>
              <w:top w:val="dotted" w:sz="4" w:space="0" w:color="auto"/>
              <w:left w:val="nil"/>
              <w:bottom w:val="dotted" w:sz="4" w:space="0" w:color="auto"/>
              <w:right w:val="dotted" w:sz="4" w:space="0" w:color="auto"/>
            </w:tcBorders>
            <w:vAlign w:val="center"/>
          </w:tcPr>
          <w:p w14:paraId="25712DC1" w14:textId="77777777" w:rsidR="00B50949" w:rsidRPr="004256BC" w:rsidRDefault="00B50949" w:rsidP="00B50949">
            <w:pPr>
              <w:rPr>
                <w:rFonts w:cs="Arial"/>
                <w:sz w:val="22"/>
                <w:szCs w:val="22"/>
              </w:rPr>
            </w:pPr>
            <w:r w:rsidRPr="004256BC">
              <w:rPr>
                <w:rFonts w:cs="Arial"/>
                <w:sz w:val="22"/>
                <w:szCs w:val="22"/>
              </w:rPr>
              <w:t>tbc</w:t>
            </w:r>
          </w:p>
        </w:tc>
        <w:tc>
          <w:tcPr>
            <w:tcW w:w="810" w:type="dxa"/>
            <w:vMerge/>
            <w:tcBorders>
              <w:left w:val="dotted" w:sz="4" w:space="0" w:color="auto"/>
              <w:right w:val="nil"/>
            </w:tcBorders>
            <w:vAlign w:val="center"/>
          </w:tcPr>
          <w:p w14:paraId="01F51285" w14:textId="77777777" w:rsidR="00B50949" w:rsidRPr="004256BC" w:rsidRDefault="00B50949" w:rsidP="00B50949">
            <w:pPr>
              <w:rPr>
                <w:rFonts w:cs="Arial"/>
                <w:sz w:val="22"/>
                <w:szCs w:val="22"/>
              </w:rPr>
            </w:pPr>
          </w:p>
        </w:tc>
        <w:tc>
          <w:tcPr>
            <w:tcW w:w="900" w:type="dxa"/>
            <w:vMerge/>
            <w:tcBorders>
              <w:left w:val="nil"/>
              <w:right w:val="nil"/>
            </w:tcBorders>
            <w:vAlign w:val="center"/>
          </w:tcPr>
          <w:p w14:paraId="31D41DC8" w14:textId="77777777" w:rsidR="00B50949" w:rsidRPr="004256BC" w:rsidRDefault="00B50949" w:rsidP="00B50949">
            <w:pPr>
              <w:rPr>
                <w:rFonts w:cs="Arial"/>
                <w:sz w:val="22"/>
                <w:szCs w:val="22"/>
              </w:rPr>
            </w:pPr>
          </w:p>
        </w:tc>
        <w:tc>
          <w:tcPr>
            <w:tcW w:w="1260" w:type="dxa"/>
            <w:vMerge/>
            <w:tcBorders>
              <w:left w:val="dotted" w:sz="4" w:space="0" w:color="auto"/>
              <w:bottom w:val="dotted" w:sz="4" w:space="0" w:color="auto"/>
              <w:right w:val="nil"/>
            </w:tcBorders>
            <w:vAlign w:val="center"/>
          </w:tcPr>
          <w:p w14:paraId="3187549B" w14:textId="77777777" w:rsidR="00B50949" w:rsidRPr="004256BC" w:rsidRDefault="00B50949" w:rsidP="00B50949">
            <w:pPr>
              <w:rPr>
                <w:rFonts w:cs="Arial"/>
                <w:sz w:val="22"/>
                <w:szCs w:val="22"/>
              </w:rPr>
            </w:pPr>
          </w:p>
        </w:tc>
        <w:tc>
          <w:tcPr>
            <w:tcW w:w="540" w:type="dxa"/>
            <w:vMerge/>
            <w:tcBorders>
              <w:left w:val="nil"/>
              <w:bottom w:val="dotted" w:sz="4" w:space="0" w:color="auto"/>
              <w:right w:val="dotted" w:sz="4" w:space="0" w:color="auto"/>
            </w:tcBorders>
            <w:vAlign w:val="center"/>
          </w:tcPr>
          <w:p w14:paraId="2FC58BB6" w14:textId="77777777" w:rsidR="00B50949" w:rsidRPr="004256BC" w:rsidRDefault="00B50949" w:rsidP="00B50949">
            <w:pPr>
              <w:rPr>
                <w:rFonts w:cs="Arial"/>
                <w:sz w:val="22"/>
                <w:szCs w:val="22"/>
              </w:rPr>
            </w:pPr>
          </w:p>
        </w:tc>
        <w:tc>
          <w:tcPr>
            <w:tcW w:w="1800" w:type="dxa"/>
            <w:vMerge/>
            <w:tcBorders>
              <w:left w:val="dotted" w:sz="4" w:space="0" w:color="auto"/>
              <w:bottom w:val="dotted" w:sz="4" w:space="0" w:color="auto"/>
              <w:right w:val="nil"/>
            </w:tcBorders>
            <w:vAlign w:val="center"/>
          </w:tcPr>
          <w:p w14:paraId="488D90F2" w14:textId="77777777" w:rsidR="00B50949" w:rsidRPr="004256BC" w:rsidRDefault="00B50949" w:rsidP="00B50949">
            <w:pPr>
              <w:rPr>
                <w:rFonts w:cs="Arial"/>
                <w:sz w:val="22"/>
                <w:szCs w:val="22"/>
              </w:rPr>
            </w:pPr>
          </w:p>
        </w:tc>
        <w:tc>
          <w:tcPr>
            <w:tcW w:w="990" w:type="dxa"/>
            <w:gridSpan w:val="2"/>
            <w:vMerge/>
            <w:tcBorders>
              <w:left w:val="nil"/>
              <w:bottom w:val="dotted" w:sz="4" w:space="0" w:color="auto"/>
              <w:right w:val="single" w:sz="2" w:space="0" w:color="auto"/>
            </w:tcBorders>
            <w:vAlign w:val="center"/>
          </w:tcPr>
          <w:p w14:paraId="79FE66DB" w14:textId="77777777" w:rsidR="00B50949" w:rsidRPr="004256BC" w:rsidRDefault="00B50949" w:rsidP="00B50949">
            <w:pPr>
              <w:rPr>
                <w:rFonts w:cs="Arial"/>
                <w:sz w:val="22"/>
                <w:szCs w:val="22"/>
              </w:rPr>
            </w:pPr>
          </w:p>
        </w:tc>
      </w:tr>
      <w:tr w:rsidR="00B50949" w:rsidRPr="004256BC" w14:paraId="08DE1485" w14:textId="77777777" w:rsidTr="00161F93">
        <w:trPr>
          <w:trHeight w:val="263"/>
        </w:trPr>
        <w:tc>
          <w:tcPr>
            <w:tcW w:w="1008" w:type="dxa"/>
            <w:vMerge/>
            <w:tcBorders>
              <w:left w:val="single" w:sz="2" w:space="0" w:color="auto"/>
              <w:right w:val="nil"/>
            </w:tcBorders>
            <w:vAlign w:val="center"/>
          </w:tcPr>
          <w:p w14:paraId="7C51289D" w14:textId="77777777" w:rsidR="00B50949" w:rsidRPr="004256BC" w:rsidRDefault="00B50949" w:rsidP="00B50949">
            <w:pPr>
              <w:rPr>
                <w:rFonts w:cs="Arial"/>
                <w:sz w:val="22"/>
                <w:szCs w:val="22"/>
              </w:rPr>
            </w:pPr>
          </w:p>
        </w:tc>
        <w:tc>
          <w:tcPr>
            <w:tcW w:w="630" w:type="dxa"/>
            <w:gridSpan w:val="2"/>
            <w:vMerge/>
            <w:tcBorders>
              <w:left w:val="nil"/>
              <w:right w:val="dotted" w:sz="2" w:space="0" w:color="auto"/>
            </w:tcBorders>
            <w:vAlign w:val="center"/>
          </w:tcPr>
          <w:p w14:paraId="50901575" w14:textId="77777777" w:rsidR="00B50949" w:rsidRPr="004256BC" w:rsidRDefault="00B50949" w:rsidP="00B50949">
            <w:pPr>
              <w:rPr>
                <w:rFonts w:cs="Arial"/>
                <w:sz w:val="22"/>
                <w:szCs w:val="22"/>
              </w:rPr>
            </w:pPr>
          </w:p>
        </w:tc>
        <w:tc>
          <w:tcPr>
            <w:tcW w:w="1980" w:type="dxa"/>
            <w:gridSpan w:val="2"/>
            <w:tcBorders>
              <w:top w:val="dotted" w:sz="4" w:space="0" w:color="auto"/>
              <w:left w:val="dotted" w:sz="2" w:space="0" w:color="auto"/>
              <w:bottom w:val="dotted" w:sz="4" w:space="0" w:color="auto"/>
              <w:right w:val="nil"/>
            </w:tcBorders>
            <w:vAlign w:val="center"/>
          </w:tcPr>
          <w:p w14:paraId="4293FE3F" w14:textId="77777777" w:rsidR="00B50949" w:rsidRPr="004256BC" w:rsidRDefault="00B50949" w:rsidP="00B50949">
            <w:pPr>
              <w:rPr>
                <w:rFonts w:cs="Arial"/>
                <w:sz w:val="22"/>
                <w:szCs w:val="22"/>
              </w:rPr>
            </w:pPr>
            <w:r w:rsidRPr="004256BC">
              <w:rPr>
                <w:rFonts w:cs="Arial"/>
                <w:sz w:val="22"/>
                <w:szCs w:val="22"/>
              </w:rPr>
              <w:t>Net income growth:</w:t>
            </w:r>
          </w:p>
        </w:tc>
        <w:tc>
          <w:tcPr>
            <w:tcW w:w="540" w:type="dxa"/>
            <w:tcBorders>
              <w:top w:val="dotted" w:sz="4" w:space="0" w:color="auto"/>
              <w:left w:val="nil"/>
              <w:bottom w:val="dotted" w:sz="4" w:space="0" w:color="auto"/>
              <w:right w:val="dotted" w:sz="4" w:space="0" w:color="auto"/>
            </w:tcBorders>
            <w:vAlign w:val="center"/>
          </w:tcPr>
          <w:p w14:paraId="428DA16F" w14:textId="77777777" w:rsidR="00B50949" w:rsidRPr="004256BC" w:rsidRDefault="00B50949" w:rsidP="00B50949">
            <w:pPr>
              <w:rPr>
                <w:rFonts w:cs="Arial"/>
                <w:sz w:val="22"/>
                <w:szCs w:val="22"/>
              </w:rPr>
            </w:pPr>
            <w:r w:rsidRPr="004256BC">
              <w:rPr>
                <w:rFonts w:cs="Arial"/>
                <w:sz w:val="22"/>
                <w:szCs w:val="22"/>
              </w:rPr>
              <w:t>tbc</w:t>
            </w:r>
          </w:p>
        </w:tc>
        <w:tc>
          <w:tcPr>
            <w:tcW w:w="810" w:type="dxa"/>
            <w:vMerge/>
            <w:tcBorders>
              <w:left w:val="dotted" w:sz="4" w:space="0" w:color="auto"/>
              <w:right w:val="nil"/>
            </w:tcBorders>
            <w:vAlign w:val="center"/>
          </w:tcPr>
          <w:p w14:paraId="4E770467" w14:textId="77777777" w:rsidR="00B50949" w:rsidRPr="004256BC" w:rsidRDefault="00B50949" w:rsidP="00B50949">
            <w:pPr>
              <w:rPr>
                <w:rFonts w:cs="Arial"/>
                <w:sz w:val="22"/>
                <w:szCs w:val="22"/>
              </w:rPr>
            </w:pPr>
          </w:p>
        </w:tc>
        <w:tc>
          <w:tcPr>
            <w:tcW w:w="900" w:type="dxa"/>
            <w:vMerge/>
            <w:tcBorders>
              <w:left w:val="nil"/>
              <w:right w:val="nil"/>
            </w:tcBorders>
            <w:vAlign w:val="center"/>
          </w:tcPr>
          <w:p w14:paraId="46F0BE88" w14:textId="77777777" w:rsidR="00B50949" w:rsidRPr="004256BC" w:rsidRDefault="00B50949" w:rsidP="00B50949">
            <w:pPr>
              <w:rPr>
                <w:rFonts w:cs="Arial"/>
                <w:sz w:val="22"/>
                <w:szCs w:val="22"/>
              </w:rPr>
            </w:pPr>
          </w:p>
        </w:tc>
        <w:tc>
          <w:tcPr>
            <w:tcW w:w="1260" w:type="dxa"/>
            <w:vMerge w:val="restart"/>
            <w:tcBorders>
              <w:top w:val="dotted" w:sz="4" w:space="0" w:color="auto"/>
              <w:left w:val="dotted" w:sz="4" w:space="0" w:color="auto"/>
              <w:right w:val="nil"/>
            </w:tcBorders>
            <w:vAlign w:val="center"/>
          </w:tcPr>
          <w:p w14:paraId="1CCA3C74" w14:textId="77777777" w:rsidR="00B50949" w:rsidRPr="004256BC" w:rsidRDefault="00B50949" w:rsidP="00B50949">
            <w:pPr>
              <w:rPr>
                <w:rFonts w:cs="Arial"/>
                <w:sz w:val="22"/>
                <w:szCs w:val="22"/>
              </w:rPr>
            </w:pPr>
            <w:r w:rsidRPr="004256BC">
              <w:rPr>
                <w:rFonts w:cs="Arial"/>
                <w:sz w:val="22"/>
                <w:szCs w:val="22"/>
              </w:rPr>
              <w:t>Outsourcing growth rate:</w:t>
            </w:r>
          </w:p>
        </w:tc>
        <w:tc>
          <w:tcPr>
            <w:tcW w:w="540" w:type="dxa"/>
            <w:vMerge w:val="restart"/>
            <w:tcBorders>
              <w:top w:val="dotted" w:sz="4" w:space="0" w:color="auto"/>
              <w:left w:val="nil"/>
              <w:right w:val="dotted" w:sz="4" w:space="0" w:color="auto"/>
            </w:tcBorders>
            <w:vAlign w:val="center"/>
          </w:tcPr>
          <w:p w14:paraId="157DE7D7" w14:textId="77777777" w:rsidR="00B50949" w:rsidRPr="004256BC" w:rsidRDefault="00B50949" w:rsidP="00B50949">
            <w:pPr>
              <w:rPr>
                <w:rFonts w:cs="Arial"/>
                <w:sz w:val="22"/>
                <w:szCs w:val="22"/>
              </w:rPr>
            </w:pPr>
            <w:r w:rsidRPr="004256BC">
              <w:rPr>
                <w:rFonts w:cs="Arial"/>
                <w:sz w:val="22"/>
                <w:szCs w:val="22"/>
              </w:rPr>
              <w:t>n/a</w:t>
            </w:r>
          </w:p>
        </w:tc>
        <w:tc>
          <w:tcPr>
            <w:tcW w:w="1800" w:type="dxa"/>
            <w:vMerge w:val="restart"/>
            <w:tcBorders>
              <w:top w:val="dotted" w:sz="4" w:space="0" w:color="auto"/>
              <w:left w:val="dotted" w:sz="4" w:space="0" w:color="auto"/>
              <w:right w:val="nil"/>
            </w:tcBorders>
            <w:vAlign w:val="center"/>
          </w:tcPr>
          <w:p w14:paraId="1A33D157" w14:textId="77777777" w:rsidR="00B50949" w:rsidRPr="004256BC" w:rsidRDefault="00B50949" w:rsidP="00B50949">
            <w:pPr>
              <w:rPr>
                <w:rFonts w:cs="Arial"/>
                <w:sz w:val="22"/>
                <w:szCs w:val="22"/>
              </w:rPr>
            </w:pPr>
            <w:r w:rsidRPr="004256BC">
              <w:rPr>
                <w:rFonts w:cs="Arial"/>
                <w:sz w:val="22"/>
                <w:szCs w:val="22"/>
              </w:rPr>
              <w:t xml:space="preserve">HR in Region </w:t>
            </w:r>
          </w:p>
        </w:tc>
        <w:tc>
          <w:tcPr>
            <w:tcW w:w="990" w:type="dxa"/>
            <w:gridSpan w:val="2"/>
            <w:vMerge w:val="restart"/>
            <w:tcBorders>
              <w:top w:val="dotted" w:sz="4" w:space="0" w:color="auto"/>
              <w:left w:val="nil"/>
              <w:right w:val="single" w:sz="2" w:space="0" w:color="auto"/>
            </w:tcBorders>
            <w:vAlign w:val="center"/>
          </w:tcPr>
          <w:p w14:paraId="50F2ACDA" w14:textId="77777777" w:rsidR="00B50949" w:rsidRPr="004256BC" w:rsidRDefault="00B50949" w:rsidP="00B50949">
            <w:pPr>
              <w:rPr>
                <w:rFonts w:cs="Arial"/>
                <w:sz w:val="22"/>
                <w:szCs w:val="22"/>
              </w:rPr>
            </w:pPr>
            <w:r w:rsidRPr="004256BC">
              <w:rPr>
                <w:rFonts w:cs="Arial"/>
                <w:sz w:val="22"/>
                <w:szCs w:val="22"/>
              </w:rPr>
              <w:t>tbc</w:t>
            </w:r>
          </w:p>
        </w:tc>
      </w:tr>
      <w:tr w:rsidR="00B50949" w:rsidRPr="004256BC" w14:paraId="00DDAB25" w14:textId="77777777" w:rsidTr="00161F93">
        <w:trPr>
          <w:trHeight w:val="218"/>
        </w:trPr>
        <w:tc>
          <w:tcPr>
            <w:tcW w:w="1008" w:type="dxa"/>
            <w:vMerge/>
            <w:tcBorders>
              <w:left w:val="single" w:sz="2" w:space="0" w:color="auto"/>
              <w:bottom w:val="dotted" w:sz="4" w:space="0" w:color="auto"/>
              <w:right w:val="nil"/>
            </w:tcBorders>
            <w:vAlign w:val="center"/>
          </w:tcPr>
          <w:p w14:paraId="4AC5E651" w14:textId="77777777" w:rsidR="00B50949" w:rsidRPr="004256BC" w:rsidRDefault="00B50949" w:rsidP="00B50949">
            <w:pPr>
              <w:rPr>
                <w:rFonts w:cs="Arial"/>
                <w:sz w:val="22"/>
                <w:szCs w:val="22"/>
              </w:rPr>
            </w:pPr>
          </w:p>
        </w:tc>
        <w:tc>
          <w:tcPr>
            <w:tcW w:w="630" w:type="dxa"/>
            <w:gridSpan w:val="2"/>
            <w:vMerge/>
            <w:tcBorders>
              <w:left w:val="nil"/>
              <w:bottom w:val="dotted" w:sz="4" w:space="0" w:color="auto"/>
              <w:right w:val="dotted" w:sz="2" w:space="0" w:color="auto"/>
            </w:tcBorders>
            <w:vAlign w:val="center"/>
          </w:tcPr>
          <w:p w14:paraId="25218D84" w14:textId="77777777" w:rsidR="00B50949" w:rsidRPr="004256BC" w:rsidRDefault="00B50949" w:rsidP="00B50949">
            <w:pPr>
              <w:rPr>
                <w:rFonts w:cs="Arial"/>
                <w:sz w:val="22"/>
                <w:szCs w:val="22"/>
              </w:rPr>
            </w:pPr>
          </w:p>
        </w:tc>
        <w:tc>
          <w:tcPr>
            <w:tcW w:w="1980" w:type="dxa"/>
            <w:gridSpan w:val="2"/>
            <w:tcBorders>
              <w:top w:val="dotted" w:sz="4" w:space="0" w:color="auto"/>
              <w:left w:val="dotted" w:sz="2" w:space="0" w:color="auto"/>
              <w:bottom w:val="dotted" w:sz="4" w:space="0" w:color="auto"/>
              <w:right w:val="nil"/>
            </w:tcBorders>
            <w:vAlign w:val="center"/>
          </w:tcPr>
          <w:p w14:paraId="133EBD80" w14:textId="77777777" w:rsidR="00B50949" w:rsidRPr="004256BC" w:rsidRDefault="00B50949" w:rsidP="00B50949">
            <w:pPr>
              <w:rPr>
                <w:rFonts w:cs="Arial"/>
                <w:sz w:val="22"/>
                <w:szCs w:val="22"/>
              </w:rPr>
            </w:pPr>
            <w:r w:rsidRPr="004256BC">
              <w:rPr>
                <w:rFonts w:cs="Arial"/>
                <w:sz w:val="22"/>
                <w:szCs w:val="22"/>
              </w:rPr>
              <w:t>Cash conversion:</w:t>
            </w:r>
          </w:p>
        </w:tc>
        <w:tc>
          <w:tcPr>
            <w:tcW w:w="540" w:type="dxa"/>
            <w:tcBorders>
              <w:top w:val="dotted" w:sz="4" w:space="0" w:color="auto"/>
              <w:left w:val="nil"/>
              <w:bottom w:val="dotted" w:sz="4" w:space="0" w:color="auto"/>
              <w:right w:val="dotted" w:sz="4" w:space="0" w:color="auto"/>
            </w:tcBorders>
            <w:vAlign w:val="center"/>
          </w:tcPr>
          <w:p w14:paraId="68F881FB" w14:textId="77777777" w:rsidR="00B50949" w:rsidRPr="004256BC" w:rsidRDefault="00B50949" w:rsidP="00B50949">
            <w:pPr>
              <w:rPr>
                <w:rFonts w:cs="Arial"/>
                <w:sz w:val="22"/>
                <w:szCs w:val="22"/>
              </w:rPr>
            </w:pPr>
            <w:r w:rsidRPr="004256BC">
              <w:rPr>
                <w:rFonts w:cs="Arial"/>
                <w:sz w:val="22"/>
                <w:szCs w:val="22"/>
              </w:rPr>
              <w:t>tbc</w:t>
            </w:r>
          </w:p>
        </w:tc>
        <w:tc>
          <w:tcPr>
            <w:tcW w:w="810" w:type="dxa"/>
            <w:vMerge/>
            <w:tcBorders>
              <w:left w:val="dotted" w:sz="4" w:space="0" w:color="auto"/>
              <w:bottom w:val="dotted" w:sz="4" w:space="0" w:color="auto"/>
              <w:right w:val="nil"/>
            </w:tcBorders>
            <w:vAlign w:val="center"/>
          </w:tcPr>
          <w:p w14:paraId="209F7A03" w14:textId="77777777" w:rsidR="00B50949" w:rsidRPr="004256BC" w:rsidRDefault="00B50949" w:rsidP="00B50949">
            <w:pPr>
              <w:rPr>
                <w:rFonts w:cs="Arial"/>
                <w:sz w:val="22"/>
                <w:szCs w:val="22"/>
              </w:rPr>
            </w:pPr>
          </w:p>
        </w:tc>
        <w:tc>
          <w:tcPr>
            <w:tcW w:w="900" w:type="dxa"/>
            <w:vMerge/>
            <w:tcBorders>
              <w:left w:val="nil"/>
              <w:bottom w:val="dotted" w:sz="4" w:space="0" w:color="auto"/>
              <w:right w:val="nil"/>
            </w:tcBorders>
            <w:vAlign w:val="center"/>
          </w:tcPr>
          <w:p w14:paraId="21189A49" w14:textId="77777777" w:rsidR="00B50949" w:rsidRPr="004256BC" w:rsidRDefault="00B50949" w:rsidP="00B50949">
            <w:pPr>
              <w:rPr>
                <w:rFonts w:cs="Arial"/>
                <w:sz w:val="22"/>
                <w:szCs w:val="22"/>
              </w:rPr>
            </w:pPr>
          </w:p>
        </w:tc>
        <w:tc>
          <w:tcPr>
            <w:tcW w:w="1260" w:type="dxa"/>
            <w:vMerge/>
            <w:tcBorders>
              <w:left w:val="dotted" w:sz="4" w:space="0" w:color="auto"/>
              <w:bottom w:val="dotted" w:sz="4" w:space="0" w:color="auto"/>
              <w:right w:val="nil"/>
            </w:tcBorders>
            <w:vAlign w:val="center"/>
          </w:tcPr>
          <w:p w14:paraId="47E3AA27" w14:textId="77777777" w:rsidR="00B50949" w:rsidRPr="004256BC" w:rsidRDefault="00B50949" w:rsidP="00B50949">
            <w:pPr>
              <w:rPr>
                <w:rFonts w:cs="Arial"/>
                <w:sz w:val="22"/>
                <w:szCs w:val="22"/>
              </w:rPr>
            </w:pPr>
          </w:p>
        </w:tc>
        <w:tc>
          <w:tcPr>
            <w:tcW w:w="540" w:type="dxa"/>
            <w:vMerge/>
            <w:tcBorders>
              <w:left w:val="nil"/>
              <w:bottom w:val="dotted" w:sz="4" w:space="0" w:color="auto"/>
              <w:right w:val="dotted" w:sz="4" w:space="0" w:color="auto"/>
            </w:tcBorders>
            <w:vAlign w:val="center"/>
          </w:tcPr>
          <w:p w14:paraId="04036686" w14:textId="77777777" w:rsidR="00B50949" w:rsidRPr="004256BC" w:rsidRDefault="00B50949" w:rsidP="00B50949">
            <w:pPr>
              <w:rPr>
                <w:rFonts w:cs="Arial"/>
                <w:sz w:val="22"/>
                <w:szCs w:val="22"/>
              </w:rPr>
            </w:pPr>
          </w:p>
        </w:tc>
        <w:tc>
          <w:tcPr>
            <w:tcW w:w="1800" w:type="dxa"/>
            <w:vMerge/>
            <w:tcBorders>
              <w:left w:val="dotted" w:sz="4" w:space="0" w:color="auto"/>
              <w:bottom w:val="dotted" w:sz="4" w:space="0" w:color="auto"/>
              <w:right w:val="nil"/>
            </w:tcBorders>
            <w:vAlign w:val="center"/>
          </w:tcPr>
          <w:p w14:paraId="1180D9AE" w14:textId="77777777" w:rsidR="00B50949" w:rsidRPr="004256BC" w:rsidRDefault="00B50949" w:rsidP="00B50949">
            <w:pPr>
              <w:rPr>
                <w:rFonts w:cs="Arial"/>
                <w:sz w:val="22"/>
                <w:szCs w:val="22"/>
              </w:rPr>
            </w:pPr>
          </w:p>
        </w:tc>
        <w:tc>
          <w:tcPr>
            <w:tcW w:w="990" w:type="dxa"/>
            <w:gridSpan w:val="2"/>
            <w:vMerge/>
            <w:tcBorders>
              <w:left w:val="nil"/>
              <w:bottom w:val="dotted" w:sz="2" w:space="0" w:color="auto"/>
              <w:right w:val="single" w:sz="2" w:space="0" w:color="auto"/>
            </w:tcBorders>
            <w:vAlign w:val="center"/>
          </w:tcPr>
          <w:p w14:paraId="172BA821" w14:textId="77777777" w:rsidR="00B50949" w:rsidRPr="004256BC" w:rsidRDefault="00B50949" w:rsidP="00B50949">
            <w:pPr>
              <w:rPr>
                <w:rFonts w:cs="Arial"/>
                <w:sz w:val="22"/>
                <w:szCs w:val="22"/>
              </w:rPr>
            </w:pPr>
          </w:p>
        </w:tc>
      </w:tr>
      <w:tr w:rsidR="00B50949" w:rsidRPr="004256BC" w14:paraId="30DDEC1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2FB63E9" w14:textId="77777777" w:rsidR="00B50949" w:rsidRPr="004256BC" w:rsidRDefault="00B50949" w:rsidP="00B50949">
            <w:pPr>
              <w:rPr>
                <w:rFonts w:cs="Arial"/>
                <w:sz w:val="22"/>
                <w:szCs w:val="22"/>
              </w:rPr>
            </w:pPr>
            <w:r w:rsidRPr="004256BC">
              <w:rPr>
                <w:rFonts w:cs="Arial"/>
                <w:sz w:val="22"/>
                <w:szCs w:val="22"/>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134C7B4" w14:textId="77777777" w:rsidR="00B50949" w:rsidRPr="004256BC" w:rsidRDefault="00B50949" w:rsidP="00B50949">
            <w:pPr>
              <w:numPr>
                <w:ilvl w:val="0"/>
                <w:numId w:val="1"/>
              </w:numPr>
              <w:spacing w:before="40" w:after="40"/>
              <w:jc w:val="left"/>
              <w:rPr>
                <w:rFonts w:cs="Arial"/>
                <w:color w:val="000000" w:themeColor="text1"/>
                <w:sz w:val="22"/>
                <w:szCs w:val="22"/>
              </w:rPr>
            </w:pPr>
            <w:r w:rsidRPr="004256BC">
              <w:rPr>
                <w:rFonts w:cs="Arial"/>
                <w:color w:val="000000" w:themeColor="text1"/>
                <w:sz w:val="22"/>
                <w:szCs w:val="22"/>
              </w:rPr>
              <w:t>Add point</w:t>
            </w:r>
          </w:p>
        </w:tc>
      </w:tr>
    </w:tbl>
    <w:p w14:paraId="4CB785A0" w14:textId="77777777" w:rsidR="00366A73" w:rsidRPr="004256BC" w:rsidRDefault="00FA1A0A" w:rsidP="00366A73">
      <w:pPr>
        <w:rPr>
          <w:rFonts w:cs="Arial"/>
          <w:sz w:val="22"/>
          <w:szCs w:val="22"/>
        </w:rPr>
      </w:pPr>
      <w:r w:rsidRPr="004256BC">
        <w:rPr>
          <w:rFonts w:cs="Arial"/>
          <w:noProof/>
          <w:sz w:val="22"/>
          <w:szCs w:val="22"/>
          <w:lang w:val="en-GB" w:eastAsia="en-GB"/>
        </w:rPr>
        <mc:AlternateContent>
          <mc:Choice Requires="wps">
            <w:drawing>
              <wp:anchor distT="0" distB="0" distL="114300" distR="114300" simplePos="0" relativeHeight="251668480" behindDoc="0" locked="0" layoutInCell="1" allowOverlap="1" wp14:anchorId="669F7E0C" wp14:editId="0FB3749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40B293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9F7E0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40B293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4256BC" w14:paraId="6255531A"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78E1F58" w14:textId="77777777" w:rsidR="00366A73" w:rsidRPr="004256BC" w:rsidRDefault="00366A73" w:rsidP="00161F93">
            <w:pPr>
              <w:pStyle w:val="titregris"/>
              <w:framePr w:hSpace="0" w:wrap="auto" w:vAnchor="margin" w:hAnchor="text" w:xAlign="left" w:yAlign="inline"/>
              <w:rPr>
                <w:b w:val="0"/>
                <w:sz w:val="22"/>
                <w:szCs w:val="22"/>
              </w:rPr>
            </w:pPr>
            <w:r w:rsidRPr="004256BC">
              <w:rPr>
                <w:color w:val="FF0000"/>
                <w:sz w:val="22"/>
                <w:szCs w:val="22"/>
              </w:rPr>
              <w:t>3.</w:t>
            </w:r>
            <w:r w:rsidRPr="004256BC">
              <w:rPr>
                <w:sz w:val="22"/>
                <w:szCs w:val="22"/>
              </w:rPr>
              <w:t xml:space="preserve"> </w:t>
            </w:r>
            <w:r w:rsidRPr="004256BC">
              <w:rPr>
                <w:sz w:val="22"/>
                <w:szCs w:val="22"/>
              </w:rPr>
              <w:tab/>
              <w:t>Organisation chart</w:t>
            </w:r>
            <w:r w:rsidRPr="004256BC">
              <w:rPr>
                <w:b w:val="0"/>
                <w:sz w:val="22"/>
                <w:szCs w:val="22"/>
              </w:rPr>
              <w:t xml:space="preserve"> –</w:t>
            </w:r>
            <w:r w:rsidRPr="004256BC">
              <w:rPr>
                <w:sz w:val="22"/>
                <w:szCs w:val="22"/>
              </w:rPr>
              <w:t xml:space="preserve"> </w:t>
            </w:r>
            <w:r w:rsidRPr="004256BC">
              <w:rPr>
                <w:b w:val="0"/>
                <w:sz w:val="22"/>
                <w:szCs w:val="2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66A73" w:rsidRPr="004256BC" w14:paraId="4A5D244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E61E801" w14:textId="77777777" w:rsidR="00366A73" w:rsidRPr="004256BC" w:rsidRDefault="00366A73" w:rsidP="00366A73">
            <w:pPr>
              <w:jc w:val="center"/>
              <w:rPr>
                <w:rFonts w:cs="Arial"/>
                <w:b/>
                <w:sz w:val="22"/>
                <w:szCs w:val="22"/>
              </w:rPr>
            </w:pPr>
          </w:p>
          <w:p w14:paraId="0D0E6D38" w14:textId="77777777" w:rsidR="00366A73" w:rsidRPr="004256BC" w:rsidRDefault="00366A73" w:rsidP="00366A73">
            <w:pPr>
              <w:jc w:val="center"/>
              <w:rPr>
                <w:rFonts w:cs="Arial"/>
                <w:b/>
                <w:sz w:val="22"/>
                <w:szCs w:val="22"/>
              </w:rPr>
            </w:pPr>
          </w:p>
          <w:p w14:paraId="7D80C4BF" w14:textId="77777777" w:rsidR="00366A73" w:rsidRPr="004256BC" w:rsidRDefault="00366A73" w:rsidP="00366A73">
            <w:pPr>
              <w:spacing w:after="40"/>
              <w:jc w:val="center"/>
              <w:rPr>
                <w:rFonts w:cs="Arial"/>
                <w:noProof/>
                <w:sz w:val="22"/>
                <w:szCs w:val="22"/>
                <w:lang w:eastAsia="en-US"/>
              </w:rPr>
            </w:pPr>
          </w:p>
          <w:p w14:paraId="563615A3" w14:textId="461893DE" w:rsidR="000E3EF7" w:rsidRPr="004256BC" w:rsidRDefault="00F25ADF" w:rsidP="00F25ADF">
            <w:pPr>
              <w:spacing w:after="40"/>
              <w:jc w:val="center"/>
              <w:rPr>
                <w:rFonts w:cs="Arial"/>
                <w:noProof/>
                <w:sz w:val="22"/>
                <w:szCs w:val="22"/>
                <w:lang w:eastAsia="en-US"/>
              </w:rPr>
            </w:pPr>
            <w:r w:rsidRPr="004256BC">
              <w:rPr>
                <w:rFonts w:cs="Arial"/>
                <w:noProof/>
                <w:sz w:val="22"/>
                <w:szCs w:val="22"/>
                <w:lang w:eastAsia="en-US"/>
              </w:rPr>
              <w:drawing>
                <wp:inline distT="0" distB="0" distL="0" distR="0" wp14:anchorId="1EF36D33" wp14:editId="154EE230">
                  <wp:extent cx="5486400" cy="2647950"/>
                  <wp:effectExtent l="0" t="3810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3E8F071" w14:textId="56DC88E0" w:rsidR="00F25ADF" w:rsidRPr="004256BC" w:rsidRDefault="00F25ADF" w:rsidP="00366A73">
            <w:pPr>
              <w:spacing w:after="40"/>
              <w:jc w:val="center"/>
              <w:rPr>
                <w:rFonts w:cs="Arial"/>
                <w:sz w:val="22"/>
                <w:szCs w:val="22"/>
              </w:rPr>
            </w:pPr>
          </w:p>
        </w:tc>
      </w:tr>
    </w:tbl>
    <w:p w14:paraId="6BF78A53" w14:textId="77777777" w:rsidR="00366A73" w:rsidRPr="004256BC" w:rsidRDefault="00366A73" w:rsidP="00366A73">
      <w:pPr>
        <w:jc w:val="left"/>
        <w:rPr>
          <w:rFonts w:cs="Arial"/>
          <w:vanish/>
          <w:sz w:val="22"/>
          <w:szCs w:val="22"/>
        </w:rPr>
      </w:pPr>
    </w:p>
    <w:p w14:paraId="12827164" w14:textId="77777777" w:rsidR="00366A73" w:rsidRPr="004256BC" w:rsidRDefault="00366A73"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4256BC" w14:paraId="3448854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144B7B6" w14:textId="77777777" w:rsidR="00366A73" w:rsidRPr="004256BC" w:rsidRDefault="00366A73" w:rsidP="00161F93">
            <w:pPr>
              <w:rPr>
                <w:rFonts w:cs="Arial"/>
                <w:b/>
                <w:sz w:val="22"/>
                <w:szCs w:val="22"/>
              </w:rPr>
            </w:pPr>
            <w:r w:rsidRPr="004256BC">
              <w:rPr>
                <w:rFonts w:cs="Arial"/>
                <w:b/>
                <w:color w:val="FF0000"/>
                <w:sz w:val="22"/>
                <w:szCs w:val="22"/>
                <w:shd w:val="clear" w:color="auto" w:fill="F2F2F2"/>
              </w:rPr>
              <w:t xml:space="preserve">4. </w:t>
            </w:r>
            <w:r w:rsidRPr="004256BC">
              <w:rPr>
                <w:rFonts w:cs="Arial"/>
                <w:b/>
                <w:color w:val="002060"/>
                <w:sz w:val="22"/>
                <w:szCs w:val="22"/>
                <w:shd w:val="clear" w:color="auto" w:fill="F2F2F2"/>
              </w:rPr>
              <w:t>Context and main issues</w:t>
            </w:r>
            <w:r w:rsidRPr="004256BC">
              <w:rPr>
                <w:rFonts w:cs="Arial"/>
                <w:b/>
                <w:sz w:val="22"/>
                <w:szCs w:val="22"/>
              </w:rPr>
              <w:t xml:space="preserve"> </w:t>
            </w:r>
            <w:r w:rsidRPr="004256BC">
              <w:rPr>
                <w:rFonts w:cs="Arial"/>
                <w:color w:val="002060"/>
                <w:sz w:val="22"/>
                <w:szCs w:val="22"/>
                <w:shd w:val="clear" w:color="auto" w:fill="F2F2F2"/>
              </w:rPr>
              <w:t xml:space="preserve">– Describe the most difficult types of problems the jobholder </w:t>
            </w:r>
            <w:proofErr w:type="gramStart"/>
            <w:r w:rsidRPr="004256BC">
              <w:rPr>
                <w:rFonts w:cs="Arial"/>
                <w:color w:val="002060"/>
                <w:sz w:val="22"/>
                <w:szCs w:val="22"/>
                <w:shd w:val="clear" w:color="auto" w:fill="F2F2F2"/>
              </w:rPr>
              <w:t>has to</w:t>
            </w:r>
            <w:proofErr w:type="gramEnd"/>
            <w:r w:rsidRPr="004256BC">
              <w:rPr>
                <w:rFonts w:cs="Arial"/>
                <w:color w:val="002060"/>
                <w:sz w:val="22"/>
                <w:szCs w:val="22"/>
                <w:shd w:val="clear" w:color="auto" w:fill="F2F2F2"/>
              </w:rPr>
              <w:t xml:space="preserve"> face (internal or external to Sodexo) and/or the regulations, guidelines, practices that are to be adhered to.</w:t>
            </w:r>
          </w:p>
        </w:tc>
      </w:tr>
      <w:tr w:rsidR="00366A73" w:rsidRPr="004256BC" w14:paraId="5B804214" w14:textId="77777777" w:rsidTr="00506283">
        <w:trPr>
          <w:trHeight w:val="699"/>
        </w:trPr>
        <w:tc>
          <w:tcPr>
            <w:tcW w:w="10458" w:type="dxa"/>
            <w:tcBorders>
              <w:top w:val="dotted" w:sz="2" w:space="0" w:color="auto"/>
              <w:left w:val="single" w:sz="2" w:space="0" w:color="auto"/>
              <w:bottom w:val="single" w:sz="4" w:space="0" w:color="auto"/>
              <w:right w:val="single" w:sz="2" w:space="0" w:color="auto"/>
            </w:tcBorders>
          </w:tcPr>
          <w:p w14:paraId="0D7C9E2E" w14:textId="77777777" w:rsidR="00506283" w:rsidRPr="004256BC" w:rsidRDefault="00506283" w:rsidP="00506283">
            <w:pPr>
              <w:pStyle w:val="Puces1"/>
              <w:numPr>
                <w:ilvl w:val="0"/>
                <w:numId w:val="0"/>
              </w:numPr>
              <w:spacing w:after="0"/>
              <w:ind w:left="709"/>
              <w:rPr>
                <w:b w:val="0"/>
                <w:bCs/>
              </w:rPr>
            </w:pPr>
            <w:r w:rsidRPr="00506283">
              <w:rPr>
                <w:b w:val="0"/>
                <w:bCs/>
              </w:rPr>
              <w:t>This role operates within a complex and highly regulated environment, requiring the post-holder to ensure full compliance with legal, contractual, and operational standards while maintaining a strong focus on data protection, governance, and assurance.</w:t>
            </w:r>
          </w:p>
          <w:p w14:paraId="5BB7493E" w14:textId="77777777" w:rsidR="00506283" w:rsidRPr="00506283" w:rsidRDefault="00506283" w:rsidP="00506283">
            <w:pPr>
              <w:pStyle w:val="Puces1"/>
              <w:numPr>
                <w:ilvl w:val="0"/>
                <w:numId w:val="0"/>
              </w:numPr>
              <w:spacing w:after="0"/>
              <w:ind w:left="709"/>
              <w:rPr>
                <w:b w:val="0"/>
                <w:bCs/>
              </w:rPr>
            </w:pPr>
          </w:p>
          <w:p w14:paraId="00CCF80C" w14:textId="77777777" w:rsidR="00506283" w:rsidRPr="00506283" w:rsidRDefault="00506283" w:rsidP="00965163">
            <w:pPr>
              <w:pStyle w:val="Puces1"/>
              <w:numPr>
                <w:ilvl w:val="0"/>
                <w:numId w:val="28"/>
              </w:numPr>
              <w:spacing w:after="0"/>
              <w:rPr>
                <w:b w:val="0"/>
                <w:bCs/>
              </w:rPr>
            </w:pPr>
            <w:r w:rsidRPr="00506283">
              <w:rPr>
                <w:b w:val="0"/>
                <w:bCs/>
              </w:rPr>
              <w:t>Key responsibilities include:</w:t>
            </w:r>
          </w:p>
          <w:p w14:paraId="525493B7" w14:textId="77777777" w:rsidR="00506283" w:rsidRPr="00506283" w:rsidRDefault="00506283" w:rsidP="00965163">
            <w:pPr>
              <w:pStyle w:val="Puces1"/>
              <w:numPr>
                <w:ilvl w:val="0"/>
                <w:numId w:val="28"/>
              </w:numPr>
              <w:spacing w:after="0"/>
              <w:rPr>
                <w:b w:val="0"/>
                <w:bCs/>
              </w:rPr>
            </w:pPr>
            <w:r w:rsidRPr="00506283">
              <w:rPr>
                <w:b w:val="0"/>
                <w:bCs/>
              </w:rPr>
              <w:t>Data Protection and Legal Requests: Ensure that all requests from the Prisons and Probation Ombudsman (PPO), HM Prison and Probation Service (HMPPS/NOMS), Ministry of Justice (MoJ), and solicitors are handled promptly and in full compliance with Data Protection legislation, ensuring the integrity and confidentiality of sensitive information at all times.</w:t>
            </w:r>
          </w:p>
          <w:p w14:paraId="11B3A588" w14:textId="77777777" w:rsidR="00506283" w:rsidRPr="00506283" w:rsidRDefault="00506283" w:rsidP="00965163">
            <w:pPr>
              <w:pStyle w:val="Puces1"/>
              <w:numPr>
                <w:ilvl w:val="0"/>
                <w:numId w:val="28"/>
              </w:numPr>
              <w:spacing w:after="0"/>
              <w:rPr>
                <w:b w:val="0"/>
                <w:bCs/>
              </w:rPr>
            </w:pPr>
            <w:r w:rsidRPr="00506283">
              <w:rPr>
                <w:b w:val="0"/>
                <w:bCs/>
              </w:rPr>
              <w:t>Judicial Reviews and Adjudication Appeals: Oversee the coordination and timely response to Judicial Reviews and Adjudication Appeals, ensuring adherence to relevant legal frameworks, procedural guidelines, and institutional protocols.</w:t>
            </w:r>
          </w:p>
          <w:p w14:paraId="33E20D60" w14:textId="77777777" w:rsidR="00506283" w:rsidRPr="00506283" w:rsidRDefault="00506283" w:rsidP="00965163">
            <w:pPr>
              <w:pStyle w:val="Puces1"/>
              <w:numPr>
                <w:ilvl w:val="0"/>
                <w:numId w:val="28"/>
              </w:numPr>
              <w:spacing w:after="0"/>
              <w:rPr>
                <w:b w:val="0"/>
                <w:bCs/>
              </w:rPr>
            </w:pPr>
            <w:r w:rsidRPr="00506283">
              <w:rPr>
                <w:b w:val="0"/>
                <w:bCs/>
              </w:rPr>
              <w:lastRenderedPageBreak/>
              <w:t>Asset Management and Risk Assurance: Maintain oversight of the Asset Custodian network and the Asset Risk Register, ensuring compliance with mandatory asset management requirements. Lead on assurance processes, including the provision of up-to-date training for custodians and robust documentation of asset control measures.</w:t>
            </w:r>
          </w:p>
          <w:p w14:paraId="0F701FCA" w14:textId="70285CAC" w:rsidR="00745A24" w:rsidRPr="004256BC" w:rsidRDefault="00506283" w:rsidP="00965163">
            <w:pPr>
              <w:pStyle w:val="Puces1"/>
              <w:numPr>
                <w:ilvl w:val="0"/>
                <w:numId w:val="28"/>
              </w:numPr>
              <w:spacing w:after="0"/>
              <w:rPr>
                <w:color w:val="FF0000"/>
              </w:rPr>
            </w:pPr>
            <w:r w:rsidRPr="00506283">
              <w:rPr>
                <w:b w:val="0"/>
                <w:bCs/>
              </w:rPr>
              <w:t>Records and Archive Management: Ensure that Records Management and Archive Rooms are maintained in accordance with the relevant Public Sector Instructions (PSIs) and retention schedules. Lead on quality assurance for record-keeping practices, promoting high standards in information governance and accessibility.</w:t>
            </w:r>
          </w:p>
        </w:tc>
      </w:tr>
    </w:tbl>
    <w:p w14:paraId="1BC084F0" w14:textId="77777777" w:rsidR="00E57078" w:rsidRPr="004256BC" w:rsidRDefault="00E57078" w:rsidP="00366A73">
      <w:pPr>
        <w:jc w:val="left"/>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4256BC" w14:paraId="1D01ED8D" w14:textId="77777777" w:rsidTr="00161F93">
        <w:trPr>
          <w:trHeight w:val="565"/>
        </w:trPr>
        <w:tc>
          <w:tcPr>
            <w:tcW w:w="10458" w:type="dxa"/>
            <w:shd w:val="clear" w:color="auto" w:fill="F2F2F2"/>
            <w:vAlign w:val="center"/>
          </w:tcPr>
          <w:p w14:paraId="43B8A0E9" w14:textId="77777777" w:rsidR="00366A73" w:rsidRPr="004256BC" w:rsidRDefault="00366A73" w:rsidP="00161F93">
            <w:pPr>
              <w:pStyle w:val="titregris"/>
              <w:framePr w:hSpace="0" w:wrap="auto" w:vAnchor="margin" w:hAnchor="text" w:xAlign="left" w:yAlign="inline"/>
              <w:rPr>
                <w:sz w:val="22"/>
                <w:szCs w:val="22"/>
              </w:rPr>
            </w:pPr>
            <w:r w:rsidRPr="004256BC">
              <w:rPr>
                <w:color w:val="FF0000"/>
                <w:sz w:val="22"/>
                <w:szCs w:val="22"/>
              </w:rPr>
              <w:t>5.</w:t>
            </w:r>
            <w:r w:rsidRPr="004256BC">
              <w:rPr>
                <w:sz w:val="22"/>
                <w:szCs w:val="22"/>
              </w:rPr>
              <w:t xml:space="preserve">  Main assignments </w:t>
            </w:r>
            <w:r w:rsidRPr="004256BC">
              <w:rPr>
                <w:b w:val="0"/>
                <w:sz w:val="22"/>
                <w:szCs w:val="22"/>
              </w:rPr>
              <w:t>–</w:t>
            </w:r>
            <w:r w:rsidRPr="004256BC">
              <w:rPr>
                <w:sz w:val="22"/>
                <w:szCs w:val="22"/>
              </w:rPr>
              <w:t xml:space="preserve"> </w:t>
            </w:r>
            <w:r w:rsidRPr="004256BC">
              <w:rPr>
                <w:b w:val="0"/>
                <w:sz w:val="22"/>
                <w:szCs w:val="22"/>
              </w:rPr>
              <w:t>Indicate the main activities / duties to be conducted in the job.</w:t>
            </w:r>
          </w:p>
        </w:tc>
      </w:tr>
      <w:tr w:rsidR="00366A73" w:rsidRPr="004256BC" w14:paraId="72449A02" w14:textId="77777777" w:rsidTr="00965163">
        <w:trPr>
          <w:trHeight w:val="2689"/>
        </w:trPr>
        <w:tc>
          <w:tcPr>
            <w:tcW w:w="10458" w:type="dxa"/>
          </w:tcPr>
          <w:p w14:paraId="6E030B11" w14:textId="77777777" w:rsidR="00366A73" w:rsidRPr="004256BC" w:rsidRDefault="00366A73" w:rsidP="00161F93">
            <w:pPr>
              <w:rPr>
                <w:rFonts w:cs="Arial"/>
                <w:b/>
                <w:sz w:val="22"/>
                <w:szCs w:val="22"/>
              </w:rPr>
            </w:pPr>
          </w:p>
          <w:p w14:paraId="441056A8" w14:textId="35A08980" w:rsidR="00506283" w:rsidRPr="004256BC" w:rsidRDefault="00506283" w:rsidP="00506283">
            <w:pPr>
              <w:pStyle w:val="NormalWeb"/>
              <w:rPr>
                <w:rFonts w:ascii="Arial" w:hAnsi="Arial" w:cs="Arial"/>
                <w:sz w:val="22"/>
                <w:szCs w:val="22"/>
                <w:lang w:val="en-GB" w:eastAsia="en-GB"/>
              </w:rPr>
            </w:pPr>
            <w:r w:rsidRPr="004256BC">
              <w:rPr>
                <w:rFonts w:ascii="Arial" w:hAnsi="Arial" w:cs="Arial"/>
                <w:sz w:val="22"/>
                <w:szCs w:val="22"/>
              </w:rPr>
              <w:t>This is a high-impact, strategic role that places the post-holder at the center of driving assurance, accountability, and continuous improvement across the establishment. Through proactive leadership and expert oversight, the Senior Administrator for Quality and Assurance ensures the prison consistently meets its contractual, legal, and performance obligations.</w:t>
            </w:r>
          </w:p>
          <w:p w14:paraId="41D93104" w14:textId="77777777" w:rsidR="00506283" w:rsidRPr="004256BC" w:rsidRDefault="00506283" w:rsidP="00506283">
            <w:pPr>
              <w:pStyle w:val="NormalWeb"/>
              <w:rPr>
                <w:rFonts w:ascii="Arial" w:hAnsi="Arial" w:cs="Arial"/>
                <w:sz w:val="22"/>
                <w:szCs w:val="22"/>
              </w:rPr>
            </w:pPr>
            <w:r w:rsidRPr="004256BC">
              <w:rPr>
                <w:rFonts w:ascii="Arial" w:hAnsi="Arial" w:cs="Arial"/>
                <w:sz w:val="22"/>
                <w:szCs w:val="22"/>
              </w:rPr>
              <w:t>Key responsibilities include:</w:t>
            </w:r>
          </w:p>
          <w:p w14:paraId="443A32F4" w14:textId="77777777" w:rsidR="00506283" w:rsidRPr="004256BC" w:rsidRDefault="00506283" w:rsidP="00506283">
            <w:pPr>
              <w:pStyle w:val="NormalWeb"/>
              <w:numPr>
                <w:ilvl w:val="0"/>
                <w:numId w:val="21"/>
              </w:numPr>
              <w:rPr>
                <w:rFonts w:ascii="Arial" w:hAnsi="Arial" w:cs="Arial"/>
                <w:sz w:val="22"/>
                <w:szCs w:val="22"/>
              </w:rPr>
            </w:pPr>
            <w:r w:rsidRPr="004256BC">
              <w:rPr>
                <w:rStyle w:val="Strong"/>
                <w:rFonts w:ascii="Arial" w:hAnsi="Arial" w:cs="Arial"/>
                <w:sz w:val="22"/>
                <w:szCs w:val="22"/>
              </w:rPr>
              <w:t>Lead on Complaints, Correspondence, and Legal Requests</w:t>
            </w:r>
            <w:r w:rsidRPr="004256BC">
              <w:rPr>
                <w:rFonts w:ascii="Arial" w:hAnsi="Arial" w:cs="Arial"/>
                <w:sz w:val="22"/>
                <w:szCs w:val="22"/>
              </w:rPr>
              <w:br/>
              <w:t>Provide oversight and coordination of all complaints, ministerial correspondence, litigation, and Subject Access Requests (SARs). Ensure that responses are not only timely and compliant, but also subject to rigorous quality assurance checks, reflecting fairness, transparency, and a learning culture.</w:t>
            </w:r>
          </w:p>
          <w:p w14:paraId="07C1A5F1" w14:textId="77777777" w:rsidR="00506283" w:rsidRPr="004256BC" w:rsidRDefault="00506283" w:rsidP="00506283">
            <w:pPr>
              <w:pStyle w:val="NormalWeb"/>
              <w:numPr>
                <w:ilvl w:val="0"/>
                <w:numId w:val="21"/>
              </w:numPr>
              <w:rPr>
                <w:rFonts w:ascii="Arial" w:hAnsi="Arial" w:cs="Arial"/>
                <w:sz w:val="22"/>
                <w:szCs w:val="22"/>
              </w:rPr>
            </w:pPr>
            <w:r w:rsidRPr="004256BC">
              <w:rPr>
                <w:rStyle w:val="Strong"/>
                <w:rFonts w:ascii="Arial" w:hAnsi="Arial" w:cs="Arial"/>
                <w:sz w:val="22"/>
                <w:szCs w:val="22"/>
              </w:rPr>
              <w:t>Drive Data Accuracy and Insightful Reporting</w:t>
            </w:r>
            <w:r w:rsidRPr="004256BC">
              <w:rPr>
                <w:rFonts w:ascii="Arial" w:hAnsi="Arial" w:cs="Arial"/>
                <w:sz w:val="22"/>
                <w:szCs w:val="22"/>
              </w:rPr>
              <w:br/>
              <w:t>Oversee the collation and submission of all establishment-wide data, ensuring it is accurate, timely, and validated. Use data intelligently to support senior leaders in performance monitoring, trend analysis, and strategic decision-making.</w:t>
            </w:r>
          </w:p>
          <w:p w14:paraId="2B07C639" w14:textId="77777777" w:rsidR="00506283" w:rsidRPr="004256BC" w:rsidRDefault="00506283" w:rsidP="00506283">
            <w:pPr>
              <w:pStyle w:val="NormalWeb"/>
              <w:numPr>
                <w:ilvl w:val="0"/>
                <w:numId w:val="21"/>
              </w:numPr>
              <w:rPr>
                <w:rFonts w:ascii="Arial" w:hAnsi="Arial" w:cs="Arial"/>
                <w:sz w:val="22"/>
                <w:szCs w:val="22"/>
              </w:rPr>
            </w:pPr>
            <w:r w:rsidRPr="004256BC">
              <w:rPr>
                <w:rStyle w:val="Strong"/>
                <w:rFonts w:ascii="Arial" w:hAnsi="Arial" w:cs="Arial"/>
                <w:sz w:val="22"/>
                <w:szCs w:val="22"/>
              </w:rPr>
              <w:t>Quality Assurance of Complaints and Compliance Areas</w:t>
            </w:r>
            <w:r w:rsidRPr="004256BC">
              <w:rPr>
                <w:rFonts w:ascii="Arial" w:hAnsi="Arial" w:cs="Arial"/>
                <w:sz w:val="22"/>
                <w:szCs w:val="22"/>
              </w:rPr>
              <w:br/>
              <w:t>Lead on the development and implementation of robust quality assurance processes across complaints handling, legal responses, and other key performance areas. Monitor trends, identify learning opportunities, and ensure standards are consistently high, with clear feedback loops into service improvement planning.</w:t>
            </w:r>
          </w:p>
          <w:p w14:paraId="644C50F8" w14:textId="77777777" w:rsidR="00506283" w:rsidRPr="004256BC" w:rsidRDefault="00506283" w:rsidP="00506283">
            <w:pPr>
              <w:pStyle w:val="NormalWeb"/>
              <w:numPr>
                <w:ilvl w:val="0"/>
                <w:numId w:val="21"/>
              </w:numPr>
              <w:rPr>
                <w:rFonts w:ascii="Arial" w:hAnsi="Arial" w:cs="Arial"/>
                <w:sz w:val="22"/>
                <w:szCs w:val="22"/>
              </w:rPr>
            </w:pPr>
            <w:r w:rsidRPr="004256BC">
              <w:rPr>
                <w:rStyle w:val="Strong"/>
                <w:rFonts w:ascii="Arial" w:hAnsi="Arial" w:cs="Arial"/>
                <w:sz w:val="22"/>
                <w:szCs w:val="22"/>
              </w:rPr>
              <w:t>PNC Audit Management and Improvement Oversight</w:t>
            </w:r>
            <w:r w:rsidRPr="004256BC">
              <w:rPr>
                <w:rFonts w:ascii="Arial" w:hAnsi="Arial" w:cs="Arial"/>
                <w:sz w:val="22"/>
                <w:szCs w:val="22"/>
              </w:rPr>
              <w:br/>
              <w:t>Coordinate regular Police National Computer (PNC) audits, ensuring compliance with national guidance. Provide clear feedback to operational teams, track actions to resolution, and embed improvements through targeted support and training.</w:t>
            </w:r>
          </w:p>
          <w:p w14:paraId="5ECB393F" w14:textId="77777777" w:rsidR="00506283" w:rsidRPr="004256BC" w:rsidRDefault="00506283" w:rsidP="00506283">
            <w:pPr>
              <w:pStyle w:val="NormalWeb"/>
              <w:numPr>
                <w:ilvl w:val="0"/>
                <w:numId w:val="21"/>
              </w:numPr>
              <w:rPr>
                <w:rFonts w:ascii="Arial" w:hAnsi="Arial" w:cs="Arial"/>
                <w:sz w:val="22"/>
                <w:szCs w:val="22"/>
              </w:rPr>
            </w:pPr>
            <w:r w:rsidRPr="004256BC">
              <w:rPr>
                <w:rStyle w:val="Strong"/>
                <w:rFonts w:ascii="Arial" w:hAnsi="Arial" w:cs="Arial"/>
                <w:sz w:val="22"/>
                <w:szCs w:val="22"/>
              </w:rPr>
              <w:t>Facilitate Training and Build Capability</w:t>
            </w:r>
            <w:r w:rsidRPr="004256BC">
              <w:rPr>
                <w:rFonts w:ascii="Arial" w:hAnsi="Arial" w:cs="Arial"/>
                <w:sz w:val="22"/>
                <w:szCs w:val="22"/>
              </w:rPr>
              <w:br/>
              <w:t>Co-design and deliver assurance-related training sessions, briefings, and knowledge-sharing forums. Build organisational capability around governance, audit readiness, and policy compliance across staff groups.</w:t>
            </w:r>
          </w:p>
          <w:p w14:paraId="35600918" w14:textId="77777777" w:rsidR="00506283" w:rsidRPr="004256BC" w:rsidRDefault="00506283" w:rsidP="00506283">
            <w:pPr>
              <w:pStyle w:val="NormalWeb"/>
              <w:numPr>
                <w:ilvl w:val="0"/>
                <w:numId w:val="21"/>
              </w:numPr>
              <w:rPr>
                <w:rFonts w:ascii="Arial" w:hAnsi="Arial" w:cs="Arial"/>
                <w:sz w:val="22"/>
                <w:szCs w:val="22"/>
              </w:rPr>
            </w:pPr>
            <w:r w:rsidRPr="004256BC">
              <w:rPr>
                <w:rStyle w:val="Strong"/>
                <w:rFonts w:ascii="Arial" w:hAnsi="Arial" w:cs="Arial"/>
                <w:sz w:val="22"/>
                <w:szCs w:val="22"/>
              </w:rPr>
              <w:t>Embed Policy and Regulatory Compliance</w:t>
            </w:r>
            <w:r w:rsidRPr="004256BC">
              <w:rPr>
                <w:rFonts w:ascii="Arial" w:hAnsi="Arial" w:cs="Arial"/>
                <w:sz w:val="22"/>
                <w:szCs w:val="22"/>
              </w:rPr>
              <w:br/>
              <w:t>Maintain an active awareness of all relevant policy, procedural, and legislative changes. Ensure these are embedded into local operating procedures, assurance processes, and audit tools in a timely and effective manner.</w:t>
            </w:r>
          </w:p>
          <w:p w14:paraId="4049A414" w14:textId="77777777" w:rsidR="00506283" w:rsidRPr="004256BC" w:rsidRDefault="00506283" w:rsidP="00506283">
            <w:pPr>
              <w:pStyle w:val="NormalWeb"/>
              <w:numPr>
                <w:ilvl w:val="0"/>
                <w:numId w:val="21"/>
              </w:numPr>
              <w:rPr>
                <w:rFonts w:ascii="Arial" w:hAnsi="Arial" w:cs="Arial"/>
                <w:sz w:val="22"/>
                <w:szCs w:val="22"/>
              </w:rPr>
            </w:pPr>
            <w:r w:rsidRPr="004256BC">
              <w:rPr>
                <w:rStyle w:val="Strong"/>
                <w:rFonts w:ascii="Arial" w:hAnsi="Arial" w:cs="Arial"/>
                <w:sz w:val="22"/>
                <w:szCs w:val="22"/>
              </w:rPr>
              <w:t>Oversight of Data and Assurance Frameworks</w:t>
            </w:r>
            <w:r w:rsidRPr="004256BC">
              <w:rPr>
                <w:rFonts w:ascii="Arial" w:hAnsi="Arial" w:cs="Arial"/>
                <w:sz w:val="22"/>
                <w:szCs w:val="22"/>
              </w:rPr>
              <w:br/>
              <w:t>Provide leadership in the collation, coordination, and quality checking of data and assurance outputs across all functional areas. Ensure frameworks are robust, evidence-based, and aligned with both contractual obligations and strategic priorities.</w:t>
            </w:r>
          </w:p>
          <w:p w14:paraId="64285C3E" w14:textId="77777777" w:rsidR="00506283" w:rsidRPr="004256BC" w:rsidRDefault="00506283" w:rsidP="00506283">
            <w:pPr>
              <w:pStyle w:val="NormalWeb"/>
              <w:numPr>
                <w:ilvl w:val="0"/>
                <w:numId w:val="21"/>
              </w:numPr>
              <w:rPr>
                <w:rFonts w:ascii="Arial" w:hAnsi="Arial" w:cs="Arial"/>
                <w:sz w:val="22"/>
                <w:szCs w:val="22"/>
              </w:rPr>
            </w:pPr>
            <w:r w:rsidRPr="004256BC">
              <w:rPr>
                <w:rStyle w:val="Strong"/>
                <w:rFonts w:ascii="Arial" w:hAnsi="Arial" w:cs="Arial"/>
                <w:sz w:val="22"/>
                <w:szCs w:val="22"/>
              </w:rPr>
              <w:t>Audit and Inspection Preparation</w:t>
            </w:r>
            <w:r w:rsidRPr="004256BC">
              <w:rPr>
                <w:rFonts w:ascii="Arial" w:hAnsi="Arial" w:cs="Arial"/>
                <w:sz w:val="22"/>
                <w:szCs w:val="22"/>
              </w:rPr>
              <w:br/>
              <w:t xml:space="preserve">Lead the establishment's preparation for internal and external audits, including HMIP and other </w:t>
            </w:r>
            <w:r w:rsidRPr="004256BC">
              <w:rPr>
                <w:rFonts w:ascii="Arial" w:hAnsi="Arial" w:cs="Arial"/>
                <w:sz w:val="22"/>
                <w:szCs w:val="22"/>
              </w:rPr>
              <w:lastRenderedPageBreak/>
              <w:t>scrutiny bodies. Maintain up-to-date self-assessment and assurance records, identifying risks and coordinating action plans to drive improvement and readiness.</w:t>
            </w:r>
          </w:p>
          <w:p w14:paraId="7B67B393" w14:textId="345C4C6B" w:rsidR="00506283" w:rsidRPr="004256BC" w:rsidRDefault="00506283" w:rsidP="00506283">
            <w:pPr>
              <w:pStyle w:val="NormalWeb"/>
              <w:numPr>
                <w:ilvl w:val="0"/>
                <w:numId w:val="21"/>
              </w:numPr>
              <w:rPr>
                <w:rFonts w:ascii="Arial" w:hAnsi="Arial" w:cs="Arial"/>
                <w:sz w:val="22"/>
                <w:szCs w:val="22"/>
              </w:rPr>
            </w:pPr>
            <w:r w:rsidRPr="004256BC">
              <w:rPr>
                <w:rStyle w:val="Strong"/>
                <w:rFonts w:ascii="Arial" w:hAnsi="Arial" w:cs="Arial"/>
                <w:sz w:val="22"/>
                <w:szCs w:val="22"/>
              </w:rPr>
              <w:t>Strategic Representation and Influence</w:t>
            </w:r>
            <w:r w:rsidRPr="004256BC">
              <w:rPr>
                <w:rFonts w:ascii="Arial" w:hAnsi="Arial" w:cs="Arial"/>
                <w:sz w:val="22"/>
                <w:szCs w:val="22"/>
              </w:rPr>
              <w:br/>
              <w:t>Represent the PDU and assurance function at cross-functional meetings, governance boards, and external stakeholder events. Influence change through the presentation of assurance findings and drive accountability across departments.</w:t>
            </w:r>
          </w:p>
          <w:p w14:paraId="546114AC" w14:textId="77777777" w:rsidR="00506283" w:rsidRPr="004256BC" w:rsidRDefault="00506283" w:rsidP="00506283">
            <w:pPr>
              <w:pStyle w:val="NormalWeb"/>
              <w:numPr>
                <w:ilvl w:val="0"/>
                <w:numId w:val="21"/>
              </w:numPr>
              <w:rPr>
                <w:rFonts w:ascii="Arial" w:hAnsi="Arial" w:cs="Arial"/>
                <w:sz w:val="22"/>
                <w:szCs w:val="22"/>
              </w:rPr>
            </w:pPr>
            <w:r w:rsidRPr="004256BC">
              <w:rPr>
                <w:rStyle w:val="Strong"/>
                <w:rFonts w:ascii="Arial" w:hAnsi="Arial" w:cs="Arial"/>
                <w:sz w:val="22"/>
                <w:szCs w:val="22"/>
              </w:rPr>
              <w:t>Prepare Reports, Briefings, and Governance Updates</w:t>
            </w:r>
            <w:r w:rsidRPr="004256BC">
              <w:rPr>
                <w:rFonts w:ascii="Arial" w:hAnsi="Arial" w:cs="Arial"/>
                <w:sz w:val="22"/>
                <w:szCs w:val="22"/>
              </w:rPr>
              <w:br/>
              <w:t>Produce high-quality assurance reports, briefings, and dashboards to support governance processes and performance reviews. Ensure outputs are accurate, analytical, and aligned with organisational priorities.</w:t>
            </w:r>
          </w:p>
          <w:p w14:paraId="427A8B73" w14:textId="77777777" w:rsidR="00424476" w:rsidRPr="004256BC" w:rsidRDefault="00424476" w:rsidP="00506283">
            <w:pPr>
              <w:pStyle w:val="Puces1"/>
              <w:numPr>
                <w:ilvl w:val="0"/>
                <w:numId w:val="0"/>
              </w:numPr>
              <w:spacing w:after="0"/>
              <w:ind w:left="720"/>
              <w:rPr>
                <w:color w:val="000000" w:themeColor="text1"/>
              </w:rPr>
            </w:pPr>
          </w:p>
        </w:tc>
      </w:tr>
    </w:tbl>
    <w:p w14:paraId="4CD539C2" w14:textId="77777777" w:rsidR="00366A73" w:rsidRPr="004256BC" w:rsidRDefault="00366A73" w:rsidP="00366A73">
      <w:pPr>
        <w:rPr>
          <w:rFonts w:cs="Arial"/>
          <w:sz w:val="22"/>
          <w:szCs w:val="22"/>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4256BC" w14:paraId="7955E106"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15AB35" w14:textId="77777777" w:rsidR="00366A73" w:rsidRPr="004256BC" w:rsidRDefault="00366A73" w:rsidP="00161F93">
            <w:pPr>
              <w:pStyle w:val="titregris"/>
              <w:framePr w:hSpace="0" w:wrap="auto" w:vAnchor="margin" w:hAnchor="text" w:xAlign="left" w:yAlign="inline"/>
              <w:rPr>
                <w:b w:val="0"/>
                <w:sz w:val="22"/>
                <w:szCs w:val="22"/>
              </w:rPr>
            </w:pPr>
            <w:r w:rsidRPr="004256BC">
              <w:rPr>
                <w:color w:val="FF0000"/>
                <w:sz w:val="22"/>
                <w:szCs w:val="22"/>
              </w:rPr>
              <w:t>6.</w:t>
            </w:r>
            <w:r w:rsidRPr="004256BC">
              <w:rPr>
                <w:sz w:val="22"/>
                <w:szCs w:val="22"/>
              </w:rPr>
              <w:t xml:space="preserve">  Accountabilities </w:t>
            </w:r>
            <w:r w:rsidRPr="004256BC">
              <w:rPr>
                <w:b w:val="0"/>
                <w:sz w:val="22"/>
                <w:szCs w:val="22"/>
              </w:rPr>
              <w:t>–</w:t>
            </w:r>
            <w:r w:rsidRPr="004256BC">
              <w:rPr>
                <w:sz w:val="22"/>
                <w:szCs w:val="22"/>
              </w:rPr>
              <w:t xml:space="preserve"> </w:t>
            </w:r>
            <w:r w:rsidRPr="004256BC">
              <w:rPr>
                <w:b w:val="0"/>
                <w:sz w:val="22"/>
                <w:szCs w:val="22"/>
              </w:rPr>
              <w:t>Give the 3 to 5 key outputs of the position vis-à-vis the organization; they should focus on end results, not duties or activities.</w:t>
            </w:r>
          </w:p>
        </w:tc>
      </w:tr>
      <w:tr w:rsidR="00366A73" w:rsidRPr="004256BC" w14:paraId="1BEB9268" w14:textId="77777777" w:rsidTr="00161F93">
        <w:trPr>
          <w:trHeight w:val="620"/>
        </w:trPr>
        <w:tc>
          <w:tcPr>
            <w:tcW w:w="10456" w:type="dxa"/>
            <w:tcBorders>
              <w:top w:val="nil"/>
              <w:left w:val="single" w:sz="2" w:space="0" w:color="auto"/>
              <w:bottom w:val="single" w:sz="4" w:space="0" w:color="auto"/>
              <w:right w:val="single" w:sz="4" w:space="0" w:color="auto"/>
            </w:tcBorders>
          </w:tcPr>
          <w:p w14:paraId="1DF6E1C6" w14:textId="77777777" w:rsidR="004256BC" w:rsidRPr="004256BC" w:rsidRDefault="004256BC" w:rsidP="004256BC">
            <w:pPr>
              <w:pStyle w:val="NormalWeb"/>
              <w:rPr>
                <w:rFonts w:ascii="Arial" w:hAnsi="Arial" w:cs="Arial"/>
                <w:sz w:val="22"/>
                <w:szCs w:val="22"/>
                <w:lang w:val="en-GB" w:eastAsia="en-GB"/>
              </w:rPr>
            </w:pPr>
            <w:r w:rsidRPr="004256BC">
              <w:rPr>
                <w:rFonts w:ascii="Arial" w:hAnsi="Arial" w:cs="Arial"/>
                <w:sz w:val="22"/>
                <w:szCs w:val="22"/>
              </w:rPr>
              <w:t>The Senior Administrator for Quality and Assurance holds strategic responsibility for embedding robust governance, audit, and compliance processes across the prison. The post-holder is pivotal in ensuring the establishment meets its contractual, operational, and legal obligations, while also maintaining inspection readiness and driving continuous improvement.</w:t>
            </w:r>
          </w:p>
          <w:p w14:paraId="23401909" w14:textId="77777777" w:rsidR="004256BC" w:rsidRPr="004256BC" w:rsidRDefault="004256BC" w:rsidP="004256BC">
            <w:pPr>
              <w:pStyle w:val="NormalWeb"/>
              <w:rPr>
                <w:rFonts w:ascii="Arial" w:hAnsi="Arial" w:cs="Arial"/>
                <w:sz w:val="22"/>
                <w:szCs w:val="22"/>
              </w:rPr>
            </w:pPr>
            <w:r w:rsidRPr="004256BC">
              <w:rPr>
                <w:rFonts w:ascii="Arial" w:hAnsi="Arial" w:cs="Arial"/>
                <w:sz w:val="22"/>
                <w:szCs w:val="22"/>
              </w:rPr>
              <w:t>Key accountabilities include:</w:t>
            </w:r>
          </w:p>
          <w:p w14:paraId="6D0D3945" w14:textId="77777777" w:rsidR="004256BC" w:rsidRPr="004256BC" w:rsidRDefault="004256BC" w:rsidP="004256BC">
            <w:pPr>
              <w:pStyle w:val="NormalWeb"/>
              <w:numPr>
                <w:ilvl w:val="0"/>
                <w:numId w:val="22"/>
              </w:numPr>
              <w:rPr>
                <w:rFonts w:ascii="Arial" w:hAnsi="Arial" w:cs="Arial"/>
                <w:sz w:val="22"/>
                <w:szCs w:val="22"/>
              </w:rPr>
            </w:pPr>
            <w:r w:rsidRPr="004256BC">
              <w:rPr>
                <w:rStyle w:val="Strong"/>
                <w:rFonts w:ascii="Arial" w:hAnsi="Arial" w:cs="Arial"/>
                <w:sz w:val="22"/>
                <w:szCs w:val="22"/>
              </w:rPr>
              <w:t>Leadership of the Performance and Delivery Unit (PDU)</w:t>
            </w:r>
            <w:r w:rsidRPr="004256BC">
              <w:rPr>
                <w:rFonts w:ascii="Arial" w:hAnsi="Arial" w:cs="Arial"/>
                <w:sz w:val="22"/>
                <w:szCs w:val="22"/>
              </w:rPr>
              <w:br/>
              <w:t>Provide strategic oversight and operational leadership to the PDU team. Ensure all complaints, ministerial correspondence, litigation matters, and Subject Access Requests (SARs) are professionally managed, completed within required timescales, and subject to robust quality assurance processes.</w:t>
            </w:r>
          </w:p>
          <w:p w14:paraId="2F5B0574" w14:textId="77777777" w:rsidR="004256BC" w:rsidRPr="004256BC" w:rsidRDefault="004256BC" w:rsidP="004256BC">
            <w:pPr>
              <w:pStyle w:val="NormalWeb"/>
              <w:numPr>
                <w:ilvl w:val="0"/>
                <w:numId w:val="22"/>
              </w:numPr>
              <w:rPr>
                <w:rFonts w:ascii="Arial" w:hAnsi="Arial" w:cs="Arial"/>
                <w:sz w:val="22"/>
                <w:szCs w:val="22"/>
              </w:rPr>
            </w:pPr>
            <w:r w:rsidRPr="004256BC">
              <w:rPr>
                <w:rStyle w:val="Strong"/>
                <w:rFonts w:ascii="Arial" w:hAnsi="Arial" w:cs="Arial"/>
                <w:sz w:val="22"/>
                <w:szCs w:val="22"/>
              </w:rPr>
              <w:t>Contractual Delivery and Compliance Monitoring</w:t>
            </w:r>
            <w:r w:rsidRPr="004256BC">
              <w:rPr>
                <w:rFonts w:ascii="Arial" w:hAnsi="Arial" w:cs="Arial"/>
                <w:sz w:val="22"/>
                <w:szCs w:val="22"/>
              </w:rPr>
              <w:br/>
              <w:t xml:space="preserve">Lead the coordination and assurance of all deliverables outlined in the Prison Services Agreement, including Schedules D (Performance), F (Data Requirements), and I (Information and Reporting). Ensure timely, accurate data submissions using approved systems such as </w:t>
            </w:r>
            <w:r w:rsidRPr="004256BC">
              <w:rPr>
                <w:rStyle w:val="Strong"/>
                <w:rFonts w:ascii="Arial" w:hAnsi="Arial" w:cs="Arial"/>
                <w:sz w:val="22"/>
                <w:szCs w:val="22"/>
              </w:rPr>
              <w:t>Mercury, NOMIS, and BI tools</w:t>
            </w:r>
            <w:r w:rsidRPr="004256BC">
              <w:rPr>
                <w:rFonts w:ascii="Arial" w:hAnsi="Arial" w:cs="Arial"/>
                <w:sz w:val="22"/>
                <w:szCs w:val="22"/>
              </w:rPr>
              <w:t>, while applying quality assurance checks to uphold data integrity.</w:t>
            </w:r>
          </w:p>
          <w:p w14:paraId="51ECF082" w14:textId="77777777" w:rsidR="004256BC" w:rsidRPr="004256BC" w:rsidRDefault="004256BC" w:rsidP="004256BC">
            <w:pPr>
              <w:pStyle w:val="NormalWeb"/>
              <w:numPr>
                <w:ilvl w:val="0"/>
                <w:numId w:val="22"/>
              </w:numPr>
              <w:rPr>
                <w:rFonts w:ascii="Arial" w:hAnsi="Arial" w:cs="Arial"/>
                <w:sz w:val="22"/>
                <w:szCs w:val="22"/>
              </w:rPr>
            </w:pPr>
            <w:r w:rsidRPr="004256BC">
              <w:rPr>
                <w:rStyle w:val="Strong"/>
                <w:rFonts w:ascii="Arial" w:hAnsi="Arial" w:cs="Arial"/>
                <w:sz w:val="22"/>
                <w:szCs w:val="22"/>
              </w:rPr>
              <w:t>Audit and Compliance Management</w:t>
            </w:r>
            <w:r w:rsidRPr="004256BC">
              <w:rPr>
                <w:rFonts w:ascii="Arial" w:hAnsi="Arial" w:cs="Arial"/>
                <w:sz w:val="22"/>
                <w:szCs w:val="22"/>
              </w:rPr>
              <w:br/>
              <w:t xml:space="preserve">Develop, maintain, and oversee the establishment’s annual audit and assurance schedule. This includes internal audits (e.g. Director’s Compliance Spreadsheet), mandatory checks (e.g. PNC Audit), and assurance mapping against </w:t>
            </w:r>
            <w:r w:rsidRPr="004256BC">
              <w:rPr>
                <w:rStyle w:val="Strong"/>
                <w:rFonts w:ascii="Arial" w:hAnsi="Arial" w:cs="Arial"/>
                <w:sz w:val="22"/>
                <w:szCs w:val="22"/>
              </w:rPr>
              <w:t>HMIP Expectations</w:t>
            </w:r>
            <w:r w:rsidRPr="004256BC">
              <w:rPr>
                <w:rFonts w:ascii="Arial" w:hAnsi="Arial" w:cs="Arial"/>
                <w:sz w:val="22"/>
                <w:szCs w:val="22"/>
              </w:rPr>
              <w:t xml:space="preserve">, </w:t>
            </w:r>
            <w:r w:rsidRPr="004256BC">
              <w:rPr>
                <w:rStyle w:val="Strong"/>
                <w:rFonts w:ascii="Arial" w:hAnsi="Arial" w:cs="Arial"/>
                <w:sz w:val="22"/>
                <w:szCs w:val="22"/>
              </w:rPr>
              <w:t>QAT frameworks</w:t>
            </w:r>
            <w:r w:rsidRPr="004256BC">
              <w:rPr>
                <w:rFonts w:ascii="Arial" w:hAnsi="Arial" w:cs="Arial"/>
                <w:sz w:val="22"/>
                <w:szCs w:val="22"/>
              </w:rPr>
              <w:t>, and regional or national assurance reviews. Ensure findings are acted upon, risks escalated, and learning shared.</w:t>
            </w:r>
          </w:p>
          <w:p w14:paraId="09D37C01" w14:textId="77777777" w:rsidR="004256BC" w:rsidRPr="004256BC" w:rsidRDefault="004256BC" w:rsidP="004256BC">
            <w:pPr>
              <w:pStyle w:val="NormalWeb"/>
              <w:numPr>
                <w:ilvl w:val="0"/>
                <w:numId w:val="22"/>
              </w:numPr>
              <w:rPr>
                <w:rFonts w:ascii="Arial" w:hAnsi="Arial" w:cs="Arial"/>
                <w:sz w:val="22"/>
                <w:szCs w:val="22"/>
              </w:rPr>
            </w:pPr>
            <w:r w:rsidRPr="004256BC">
              <w:rPr>
                <w:rStyle w:val="Strong"/>
                <w:rFonts w:ascii="Arial" w:hAnsi="Arial" w:cs="Arial"/>
                <w:sz w:val="22"/>
                <w:szCs w:val="22"/>
              </w:rPr>
              <w:t>Inspection Readiness and Assurance Leadership</w:t>
            </w:r>
            <w:r w:rsidRPr="004256BC">
              <w:rPr>
                <w:rFonts w:ascii="Arial" w:hAnsi="Arial" w:cs="Arial"/>
                <w:sz w:val="22"/>
                <w:szCs w:val="22"/>
              </w:rPr>
              <w:br/>
              <w:t>Act as a key lead for inspection readiness, particularly for HM Inspectorate of Prisons (HMIP), Independent Monitoring Board (IMB), and other scrutiny bodies. Maintain up-to-date self-assessments, thematic overviews, and action trackers that evidence compliance, improvement, and governance oversight.</w:t>
            </w:r>
          </w:p>
          <w:p w14:paraId="1148DE80" w14:textId="77777777" w:rsidR="004256BC" w:rsidRPr="004256BC" w:rsidRDefault="004256BC" w:rsidP="004256BC">
            <w:pPr>
              <w:pStyle w:val="NormalWeb"/>
              <w:numPr>
                <w:ilvl w:val="0"/>
                <w:numId w:val="22"/>
              </w:numPr>
              <w:rPr>
                <w:rFonts w:ascii="Arial" w:hAnsi="Arial" w:cs="Arial"/>
                <w:sz w:val="22"/>
                <w:szCs w:val="22"/>
              </w:rPr>
            </w:pPr>
            <w:r w:rsidRPr="004256BC">
              <w:rPr>
                <w:rStyle w:val="Strong"/>
                <w:rFonts w:ascii="Arial" w:hAnsi="Arial" w:cs="Arial"/>
                <w:sz w:val="22"/>
                <w:szCs w:val="22"/>
              </w:rPr>
              <w:t>MoJ Returns and National Requests</w:t>
            </w:r>
            <w:r w:rsidRPr="004256BC">
              <w:rPr>
                <w:rFonts w:ascii="Arial" w:hAnsi="Arial" w:cs="Arial"/>
                <w:sz w:val="22"/>
                <w:szCs w:val="22"/>
              </w:rPr>
              <w:br/>
              <w:t>Coordinate the collation, validation, and timely return of all Ministry of Justice (MoJ) data and assurance requests. Ensure responses are compliant, quality-checked, and submitted through appropriate platforms, reflecting the professionalism and responsiveness of the establishment.</w:t>
            </w:r>
          </w:p>
          <w:p w14:paraId="338C8774" w14:textId="77777777" w:rsidR="004256BC" w:rsidRDefault="004256BC" w:rsidP="004256BC">
            <w:pPr>
              <w:pStyle w:val="NormalWeb"/>
              <w:numPr>
                <w:ilvl w:val="0"/>
                <w:numId w:val="22"/>
              </w:numPr>
              <w:rPr>
                <w:rFonts w:ascii="Arial" w:hAnsi="Arial" w:cs="Arial"/>
                <w:sz w:val="22"/>
                <w:szCs w:val="22"/>
              </w:rPr>
            </w:pPr>
            <w:r w:rsidRPr="004256BC">
              <w:rPr>
                <w:rStyle w:val="Strong"/>
                <w:rFonts w:ascii="Arial" w:hAnsi="Arial" w:cs="Arial"/>
                <w:sz w:val="22"/>
                <w:szCs w:val="22"/>
              </w:rPr>
              <w:t>Meeting Reporting and Governance Contributions</w:t>
            </w:r>
            <w:r w:rsidRPr="004256BC">
              <w:rPr>
                <w:rFonts w:ascii="Arial" w:hAnsi="Arial" w:cs="Arial"/>
                <w:sz w:val="22"/>
                <w:szCs w:val="22"/>
              </w:rPr>
              <w:br/>
              <w:t>Ensure that all allocated governance reports, briefings, and meeting submissions are factual, timely, and aligned to strategic priorities. Present assurance findings and performance data clearly to inform decision-making and action planning at senior leadership level.</w:t>
            </w:r>
          </w:p>
          <w:p w14:paraId="69EE3D24" w14:textId="77777777" w:rsidR="00965163" w:rsidRPr="004256BC" w:rsidRDefault="00965163" w:rsidP="00965163">
            <w:pPr>
              <w:pStyle w:val="NormalWeb"/>
              <w:ind w:left="720"/>
              <w:rPr>
                <w:rFonts w:ascii="Arial" w:hAnsi="Arial" w:cs="Arial"/>
                <w:sz w:val="22"/>
                <w:szCs w:val="22"/>
              </w:rPr>
            </w:pPr>
          </w:p>
          <w:p w14:paraId="31353466" w14:textId="77777777" w:rsidR="004256BC" w:rsidRPr="004256BC" w:rsidRDefault="004256BC" w:rsidP="004256BC">
            <w:pPr>
              <w:pStyle w:val="NormalWeb"/>
              <w:numPr>
                <w:ilvl w:val="0"/>
                <w:numId w:val="22"/>
              </w:numPr>
              <w:rPr>
                <w:rFonts w:ascii="Arial" w:hAnsi="Arial" w:cs="Arial"/>
                <w:sz w:val="22"/>
                <w:szCs w:val="22"/>
              </w:rPr>
            </w:pPr>
            <w:r w:rsidRPr="004256BC">
              <w:rPr>
                <w:rStyle w:val="Strong"/>
                <w:rFonts w:ascii="Arial" w:hAnsi="Arial" w:cs="Arial"/>
                <w:sz w:val="22"/>
                <w:szCs w:val="22"/>
              </w:rPr>
              <w:t>Risk Management and Escalation</w:t>
            </w:r>
            <w:r w:rsidRPr="004256BC">
              <w:rPr>
                <w:rFonts w:ascii="Arial" w:hAnsi="Arial" w:cs="Arial"/>
                <w:sz w:val="22"/>
                <w:szCs w:val="22"/>
              </w:rPr>
              <w:br/>
              <w:t>Actively monitor and manage risks relating to compliance, contractual delivery, data quality, and operational governance. Escalate emerging or significant risks through established forums (e.g. SLT, risk boards) and track mitigation actions to resolution. Ensure that assurance activity is risk-informed and proportionate.</w:t>
            </w:r>
          </w:p>
          <w:p w14:paraId="6127FCED" w14:textId="77777777" w:rsidR="004256BC" w:rsidRPr="004256BC" w:rsidRDefault="004256BC" w:rsidP="004256BC">
            <w:pPr>
              <w:pStyle w:val="NormalWeb"/>
              <w:numPr>
                <w:ilvl w:val="0"/>
                <w:numId w:val="22"/>
              </w:numPr>
              <w:rPr>
                <w:rFonts w:ascii="Arial" w:hAnsi="Arial" w:cs="Arial"/>
                <w:sz w:val="22"/>
                <w:szCs w:val="22"/>
              </w:rPr>
            </w:pPr>
            <w:r w:rsidRPr="004256BC">
              <w:rPr>
                <w:rStyle w:val="Strong"/>
                <w:rFonts w:ascii="Arial" w:hAnsi="Arial" w:cs="Arial"/>
                <w:sz w:val="22"/>
                <w:szCs w:val="22"/>
              </w:rPr>
              <w:t>Systems Leadership and Continuous Improvement</w:t>
            </w:r>
            <w:r w:rsidRPr="004256BC">
              <w:rPr>
                <w:rFonts w:ascii="Arial" w:hAnsi="Arial" w:cs="Arial"/>
                <w:sz w:val="22"/>
                <w:szCs w:val="22"/>
              </w:rPr>
              <w:br/>
              <w:t xml:space="preserve">Use insights from </w:t>
            </w:r>
            <w:r w:rsidRPr="004256BC">
              <w:rPr>
                <w:rStyle w:val="Strong"/>
                <w:rFonts w:ascii="Arial" w:hAnsi="Arial" w:cs="Arial"/>
                <w:sz w:val="22"/>
                <w:szCs w:val="22"/>
              </w:rPr>
              <w:t>NOMIS, Mercury, and national dashboards</w:t>
            </w:r>
            <w:r w:rsidRPr="004256BC">
              <w:rPr>
                <w:rFonts w:ascii="Arial" w:hAnsi="Arial" w:cs="Arial"/>
                <w:sz w:val="22"/>
                <w:szCs w:val="22"/>
              </w:rPr>
              <w:t xml:space="preserve"> to analyse trends, highlight systemic issues, and identify opportunities for improvement. Promote a culture of accountability and evidence-based learning, ensuring that assurance and audit outcomes translate into improved service delivery and staff understanding.</w:t>
            </w:r>
          </w:p>
          <w:p w14:paraId="5676857B" w14:textId="321347A9" w:rsidR="002A0173" w:rsidRPr="004256BC" w:rsidRDefault="002A0173" w:rsidP="004256BC">
            <w:pPr>
              <w:spacing w:before="40"/>
              <w:ind w:left="720"/>
              <w:jc w:val="left"/>
              <w:rPr>
                <w:rFonts w:cs="Arial"/>
                <w:color w:val="000000" w:themeColor="text1"/>
                <w:sz w:val="22"/>
                <w:szCs w:val="22"/>
                <w:lang w:val="en-GB"/>
              </w:rPr>
            </w:pPr>
          </w:p>
        </w:tc>
      </w:tr>
    </w:tbl>
    <w:p w14:paraId="375C67A3" w14:textId="77777777" w:rsidR="007F602D" w:rsidRPr="004256BC" w:rsidRDefault="007F602D" w:rsidP="00366A73">
      <w:pPr>
        <w:rPr>
          <w:rFonts w:cs="Arial"/>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4256BC" w14:paraId="09D827F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25259FF" w14:textId="77777777" w:rsidR="00EA3990" w:rsidRPr="004256BC" w:rsidRDefault="00EA3990" w:rsidP="00EA3990">
            <w:pPr>
              <w:pStyle w:val="titregris"/>
              <w:framePr w:hSpace="0" w:wrap="auto" w:vAnchor="margin" w:hAnchor="text" w:xAlign="left" w:yAlign="inline"/>
              <w:rPr>
                <w:b w:val="0"/>
                <w:sz w:val="22"/>
                <w:szCs w:val="22"/>
              </w:rPr>
            </w:pPr>
            <w:r w:rsidRPr="004256BC">
              <w:rPr>
                <w:color w:val="FF0000"/>
                <w:sz w:val="22"/>
                <w:szCs w:val="22"/>
              </w:rPr>
              <w:t>7.</w:t>
            </w:r>
            <w:r w:rsidRPr="004256BC">
              <w:rPr>
                <w:sz w:val="22"/>
                <w:szCs w:val="22"/>
              </w:rPr>
              <w:t xml:space="preserve">  Person Specification </w:t>
            </w:r>
            <w:r w:rsidRPr="004256BC">
              <w:rPr>
                <w:b w:val="0"/>
                <w:sz w:val="22"/>
                <w:szCs w:val="22"/>
              </w:rPr>
              <w:t>–</w:t>
            </w:r>
            <w:r w:rsidRPr="004256BC">
              <w:rPr>
                <w:sz w:val="22"/>
                <w:szCs w:val="22"/>
              </w:rPr>
              <w:t xml:space="preserve"> </w:t>
            </w:r>
            <w:r w:rsidRPr="004256BC">
              <w:rPr>
                <w:b w:val="0"/>
                <w:sz w:val="22"/>
                <w:szCs w:val="22"/>
              </w:rPr>
              <w:t>Indicate the skills, knowledge and experience that the job holder should require to conduct the role effectively</w:t>
            </w:r>
          </w:p>
          <w:p w14:paraId="498BE9E0" w14:textId="77777777" w:rsidR="004256BC" w:rsidRPr="004256BC" w:rsidRDefault="004256BC" w:rsidP="004256BC">
            <w:pPr>
              <w:spacing w:before="100" w:beforeAutospacing="1" w:after="100" w:afterAutospacing="1"/>
              <w:jc w:val="left"/>
              <w:outlineLvl w:val="3"/>
              <w:rPr>
                <w:rFonts w:cs="Arial"/>
                <w:b/>
                <w:bCs/>
                <w:sz w:val="22"/>
                <w:szCs w:val="22"/>
                <w:lang w:val="en-GB" w:eastAsia="en-GB"/>
              </w:rPr>
            </w:pPr>
            <w:r w:rsidRPr="004256BC">
              <w:rPr>
                <w:rFonts w:cs="Arial"/>
                <w:b/>
                <w:bCs/>
                <w:sz w:val="22"/>
                <w:szCs w:val="22"/>
                <w:lang w:val="en-GB" w:eastAsia="en-GB"/>
              </w:rPr>
              <w:t>Experience</w:t>
            </w:r>
          </w:p>
          <w:p w14:paraId="179810E4" w14:textId="77777777" w:rsidR="004256BC" w:rsidRPr="004256BC" w:rsidRDefault="004256BC" w:rsidP="004256BC">
            <w:pPr>
              <w:numPr>
                <w:ilvl w:val="0"/>
                <w:numId w:val="23"/>
              </w:numPr>
              <w:spacing w:before="100" w:beforeAutospacing="1" w:after="100" w:afterAutospacing="1"/>
              <w:jc w:val="left"/>
              <w:rPr>
                <w:rFonts w:cs="Arial"/>
                <w:sz w:val="22"/>
                <w:szCs w:val="22"/>
                <w:lang w:val="en-GB" w:eastAsia="en-GB"/>
              </w:rPr>
            </w:pPr>
            <w:r w:rsidRPr="004256BC">
              <w:rPr>
                <w:rFonts w:cs="Arial"/>
                <w:sz w:val="22"/>
                <w:szCs w:val="22"/>
                <w:lang w:val="en-GB" w:eastAsia="en-GB"/>
              </w:rPr>
              <w:t>Proven experience working in an assurance, compliance, audit, or governance-focused role within a public service or regulated environment.</w:t>
            </w:r>
          </w:p>
          <w:p w14:paraId="3FCCBE7D" w14:textId="77777777" w:rsidR="004256BC" w:rsidRPr="004256BC" w:rsidRDefault="004256BC" w:rsidP="004256BC">
            <w:pPr>
              <w:numPr>
                <w:ilvl w:val="0"/>
                <w:numId w:val="23"/>
              </w:numPr>
              <w:spacing w:before="100" w:beforeAutospacing="1" w:after="100" w:afterAutospacing="1"/>
              <w:jc w:val="left"/>
              <w:rPr>
                <w:rFonts w:cs="Arial"/>
                <w:sz w:val="22"/>
                <w:szCs w:val="22"/>
                <w:lang w:val="en-GB" w:eastAsia="en-GB"/>
              </w:rPr>
            </w:pPr>
            <w:r w:rsidRPr="004256BC">
              <w:rPr>
                <w:rFonts w:cs="Arial"/>
                <w:sz w:val="22"/>
                <w:szCs w:val="22"/>
                <w:lang w:val="en-GB" w:eastAsia="en-GB"/>
              </w:rPr>
              <w:t>Demonstrable track record of managing performance data, contractual reporting, and regulatory returns.</w:t>
            </w:r>
          </w:p>
          <w:p w14:paraId="2CB49C13" w14:textId="77777777" w:rsidR="004256BC" w:rsidRPr="004256BC" w:rsidRDefault="004256BC" w:rsidP="004256BC">
            <w:pPr>
              <w:numPr>
                <w:ilvl w:val="0"/>
                <w:numId w:val="23"/>
              </w:numPr>
              <w:spacing w:before="100" w:beforeAutospacing="1" w:after="100" w:afterAutospacing="1"/>
              <w:jc w:val="left"/>
              <w:rPr>
                <w:rFonts w:cs="Arial"/>
                <w:sz w:val="22"/>
                <w:szCs w:val="22"/>
                <w:lang w:val="en-GB" w:eastAsia="en-GB"/>
              </w:rPr>
            </w:pPr>
            <w:r w:rsidRPr="004256BC">
              <w:rPr>
                <w:rFonts w:cs="Arial"/>
                <w:sz w:val="22"/>
                <w:szCs w:val="22"/>
                <w:lang w:val="en-GB" w:eastAsia="en-GB"/>
              </w:rPr>
              <w:t>Experience of responding to ministerial correspondence, complaints, legal enquiries (including SARs), or similar sensitive casework.</w:t>
            </w:r>
          </w:p>
          <w:p w14:paraId="27D45680" w14:textId="77777777" w:rsidR="004256BC" w:rsidRPr="004256BC" w:rsidRDefault="004256BC" w:rsidP="004256BC">
            <w:pPr>
              <w:numPr>
                <w:ilvl w:val="0"/>
                <w:numId w:val="23"/>
              </w:numPr>
              <w:spacing w:before="100" w:beforeAutospacing="1" w:after="100" w:afterAutospacing="1"/>
              <w:jc w:val="left"/>
              <w:rPr>
                <w:rFonts w:cs="Arial"/>
                <w:sz w:val="22"/>
                <w:szCs w:val="22"/>
                <w:lang w:val="en-GB" w:eastAsia="en-GB"/>
              </w:rPr>
            </w:pPr>
            <w:r w:rsidRPr="004256BC">
              <w:rPr>
                <w:rFonts w:cs="Arial"/>
                <w:sz w:val="22"/>
                <w:szCs w:val="22"/>
                <w:lang w:val="en-GB" w:eastAsia="en-GB"/>
              </w:rPr>
              <w:t>Experience leading, line managing, or coordinating the work of a small team in a performance-driven setting.</w:t>
            </w:r>
          </w:p>
          <w:p w14:paraId="18073EED" w14:textId="77777777" w:rsidR="004256BC" w:rsidRPr="004256BC" w:rsidRDefault="004256BC" w:rsidP="004256BC">
            <w:pPr>
              <w:spacing w:before="100" w:beforeAutospacing="1" w:after="100" w:afterAutospacing="1"/>
              <w:jc w:val="left"/>
              <w:outlineLvl w:val="3"/>
              <w:rPr>
                <w:rFonts w:cs="Arial"/>
                <w:b/>
                <w:bCs/>
                <w:sz w:val="22"/>
                <w:szCs w:val="22"/>
                <w:lang w:val="en-GB" w:eastAsia="en-GB"/>
              </w:rPr>
            </w:pPr>
            <w:r w:rsidRPr="004256BC">
              <w:rPr>
                <w:rFonts w:cs="Arial"/>
                <w:b/>
                <w:bCs/>
                <w:sz w:val="22"/>
                <w:szCs w:val="22"/>
                <w:lang w:val="en-GB" w:eastAsia="en-GB"/>
              </w:rPr>
              <w:t>Knowledge</w:t>
            </w:r>
          </w:p>
          <w:p w14:paraId="6905B614" w14:textId="77777777" w:rsidR="004256BC" w:rsidRPr="004256BC" w:rsidRDefault="004256BC" w:rsidP="004256BC">
            <w:pPr>
              <w:numPr>
                <w:ilvl w:val="0"/>
                <w:numId w:val="24"/>
              </w:numPr>
              <w:spacing w:before="100" w:beforeAutospacing="1" w:after="100" w:afterAutospacing="1"/>
              <w:jc w:val="left"/>
              <w:rPr>
                <w:rFonts w:cs="Arial"/>
                <w:sz w:val="22"/>
                <w:szCs w:val="22"/>
                <w:lang w:val="en-GB" w:eastAsia="en-GB"/>
              </w:rPr>
            </w:pPr>
            <w:r w:rsidRPr="004256BC">
              <w:rPr>
                <w:rFonts w:cs="Arial"/>
                <w:sz w:val="22"/>
                <w:szCs w:val="22"/>
                <w:lang w:val="en-GB" w:eastAsia="en-GB"/>
              </w:rPr>
              <w:t>Strong understanding of prison operational systems, particularly NOMIS, Mercury, and Business Intelligence dashboards.</w:t>
            </w:r>
          </w:p>
          <w:p w14:paraId="1B270F02" w14:textId="77777777" w:rsidR="004256BC" w:rsidRPr="004256BC" w:rsidRDefault="004256BC" w:rsidP="004256BC">
            <w:pPr>
              <w:numPr>
                <w:ilvl w:val="0"/>
                <w:numId w:val="24"/>
              </w:numPr>
              <w:spacing w:before="100" w:beforeAutospacing="1" w:after="100" w:afterAutospacing="1"/>
              <w:jc w:val="left"/>
              <w:rPr>
                <w:rFonts w:cs="Arial"/>
                <w:sz w:val="22"/>
                <w:szCs w:val="22"/>
                <w:lang w:val="en-GB" w:eastAsia="en-GB"/>
              </w:rPr>
            </w:pPr>
            <w:r w:rsidRPr="004256BC">
              <w:rPr>
                <w:rFonts w:cs="Arial"/>
                <w:sz w:val="22"/>
                <w:szCs w:val="22"/>
                <w:lang w:val="en-GB" w:eastAsia="en-GB"/>
              </w:rPr>
              <w:t>Working knowledge of data protection, subject access, and legal response processes.</w:t>
            </w:r>
          </w:p>
          <w:p w14:paraId="44778F3A" w14:textId="77777777" w:rsidR="004256BC" w:rsidRPr="004256BC" w:rsidRDefault="004256BC" w:rsidP="004256BC">
            <w:pPr>
              <w:numPr>
                <w:ilvl w:val="0"/>
                <w:numId w:val="24"/>
              </w:numPr>
              <w:spacing w:before="100" w:beforeAutospacing="1" w:after="100" w:afterAutospacing="1"/>
              <w:jc w:val="left"/>
              <w:rPr>
                <w:rFonts w:cs="Arial"/>
                <w:sz w:val="22"/>
                <w:szCs w:val="22"/>
                <w:lang w:val="en-GB" w:eastAsia="en-GB"/>
              </w:rPr>
            </w:pPr>
            <w:r w:rsidRPr="004256BC">
              <w:rPr>
                <w:rFonts w:cs="Arial"/>
                <w:sz w:val="22"/>
                <w:szCs w:val="22"/>
                <w:lang w:val="en-GB" w:eastAsia="en-GB"/>
              </w:rPr>
              <w:t>Familiarity with HMIP Expectations, HMPPS audit regimes, and contractual requirements under the Prison Services Agreement (particularly Schedules D, F, and I).</w:t>
            </w:r>
          </w:p>
          <w:p w14:paraId="39BE7332" w14:textId="77777777" w:rsidR="004256BC" w:rsidRPr="004256BC" w:rsidRDefault="004256BC" w:rsidP="004256BC">
            <w:pPr>
              <w:numPr>
                <w:ilvl w:val="0"/>
                <w:numId w:val="24"/>
              </w:numPr>
              <w:spacing w:before="100" w:beforeAutospacing="1" w:after="100" w:afterAutospacing="1"/>
              <w:jc w:val="left"/>
              <w:rPr>
                <w:rFonts w:cs="Arial"/>
                <w:sz w:val="22"/>
                <w:szCs w:val="22"/>
                <w:lang w:val="en-GB" w:eastAsia="en-GB"/>
              </w:rPr>
            </w:pPr>
            <w:r w:rsidRPr="004256BC">
              <w:rPr>
                <w:rFonts w:cs="Arial"/>
                <w:sz w:val="22"/>
                <w:szCs w:val="22"/>
                <w:lang w:val="en-GB" w:eastAsia="en-GB"/>
              </w:rPr>
              <w:t>Awareness of risk management processes and escalation protocols in custodial or justice settings.</w:t>
            </w:r>
          </w:p>
          <w:p w14:paraId="5A5617CF" w14:textId="77777777" w:rsidR="004256BC" w:rsidRPr="004256BC" w:rsidRDefault="004256BC" w:rsidP="004256BC">
            <w:pPr>
              <w:spacing w:before="100" w:beforeAutospacing="1" w:after="100" w:afterAutospacing="1"/>
              <w:jc w:val="left"/>
              <w:outlineLvl w:val="3"/>
              <w:rPr>
                <w:rFonts w:cs="Arial"/>
                <w:b/>
                <w:bCs/>
                <w:sz w:val="22"/>
                <w:szCs w:val="22"/>
                <w:lang w:val="en-GB" w:eastAsia="en-GB"/>
              </w:rPr>
            </w:pPr>
            <w:r w:rsidRPr="004256BC">
              <w:rPr>
                <w:rFonts w:cs="Arial"/>
                <w:b/>
                <w:bCs/>
                <w:sz w:val="22"/>
                <w:szCs w:val="22"/>
                <w:lang w:val="en-GB" w:eastAsia="en-GB"/>
              </w:rPr>
              <w:t>Skills and Abilities</w:t>
            </w:r>
          </w:p>
          <w:p w14:paraId="33DC4774" w14:textId="77777777" w:rsidR="004256BC" w:rsidRPr="004256BC" w:rsidRDefault="004256BC" w:rsidP="004256BC">
            <w:pPr>
              <w:numPr>
                <w:ilvl w:val="0"/>
                <w:numId w:val="25"/>
              </w:numPr>
              <w:spacing w:before="100" w:beforeAutospacing="1" w:after="100" w:afterAutospacing="1"/>
              <w:jc w:val="left"/>
              <w:rPr>
                <w:rFonts w:cs="Arial"/>
                <w:sz w:val="22"/>
                <w:szCs w:val="22"/>
                <w:lang w:val="en-GB" w:eastAsia="en-GB"/>
              </w:rPr>
            </w:pPr>
            <w:r w:rsidRPr="004256BC">
              <w:rPr>
                <w:rFonts w:cs="Arial"/>
                <w:sz w:val="22"/>
                <w:szCs w:val="22"/>
                <w:lang w:val="en-GB" w:eastAsia="en-GB"/>
              </w:rPr>
              <w:t>Exceptional organisational skills with the ability to manage multiple deadlines, competing priorities, and sensitive information with discretion.</w:t>
            </w:r>
          </w:p>
          <w:p w14:paraId="24ADEC28" w14:textId="77777777" w:rsidR="004256BC" w:rsidRPr="004256BC" w:rsidRDefault="004256BC" w:rsidP="004256BC">
            <w:pPr>
              <w:numPr>
                <w:ilvl w:val="0"/>
                <w:numId w:val="25"/>
              </w:numPr>
              <w:spacing w:before="100" w:beforeAutospacing="1" w:after="100" w:afterAutospacing="1"/>
              <w:jc w:val="left"/>
              <w:rPr>
                <w:rFonts w:cs="Arial"/>
                <w:sz w:val="22"/>
                <w:szCs w:val="22"/>
                <w:lang w:val="en-GB" w:eastAsia="en-GB"/>
              </w:rPr>
            </w:pPr>
            <w:r w:rsidRPr="004256BC">
              <w:rPr>
                <w:rFonts w:cs="Arial"/>
                <w:sz w:val="22"/>
                <w:szCs w:val="22"/>
                <w:lang w:val="en-GB" w:eastAsia="en-GB"/>
              </w:rPr>
              <w:t>Excellent written and verbal communication skills, with the ability to produce clear, evidence-based reports, correspondence, and briefings.</w:t>
            </w:r>
          </w:p>
          <w:p w14:paraId="3F498B28" w14:textId="77777777" w:rsidR="004256BC" w:rsidRPr="004256BC" w:rsidRDefault="004256BC" w:rsidP="004256BC">
            <w:pPr>
              <w:numPr>
                <w:ilvl w:val="0"/>
                <w:numId w:val="25"/>
              </w:numPr>
              <w:spacing w:before="100" w:beforeAutospacing="1" w:after="100" w:afterAutospacing="1"/>
              <w:jc w:val="left"/>
              <w:rPr>
                <w:rFonts w:cs="Arial"/>
                <w:sz w:val="22"/>
                <w:szCs w:val="22"/>
                <w:lang w:val="en-GB" w:eastAsia="en-GB"/>
              </w:rPr>
            </w:pPr>
            <w:r w:rsidRPr="004256BC">
              <w:rPr>
                <w:rFonts w:cs="Arial"/>
                <w:sz w:val="22"/>
                <w:szCs w:val="22"/>
                <w:lang w:val="en-GB" w:eastAsia="en-GB"/>
              </w:rPr>
              <w:t>High-level analytical skills and attention to detail, including the ability to interpret complex data sets and audit findings to drive improvement.</w:t>
            </w:r>
          </w:p>
          <w:p w14:paraId="036C4218" w14:textId="77777777" w:rsidR="004256BC" w:rsidRPr="004256BC" w:rsidRDefault="004256BC" w:rsidP="004256BC">
            <w:pPr>
              <w:numPr>
                <w:ilvl w:val="0"/>
                <w:numId w:val="25"/>
              </w:numPr>
              <w:spacing w:before="100" w:beforeAutospacing="1" w:after="100" w:afterAutospacing="1"/>
              <w:jc w:val="left"/>
              <w:rPr>
                <w:rFonts w:cs="Arial"/>
                <w:sz w:val="22"/>
                <w:szCs w:val="22"/>
                <w:lang w:val="en-GB" w:eastAsia="en-GB"/>
              </w:rPr>
            </w:pPr>
            <w:r w:rsidRPr="004256BC">
              <w:rPr>
                <w:rFonts w:cs="Arial"/>
                <w:sz w:val="22"/>
                <w:szCs w:val="22"/>
                <w:lang w:val="en-GB" w:eastAsia="en-GB"/>
              </w:rPr>
              <w:t>Strong interpersonal skills with the confidence to influence, challenge, and collaborate with staff at all levels.</w:t>
            </w:r>
          </w:p>
          <w:p w14:paraId="6B304DE9" w14:textId="77777777" w:rsidR="004256BC" w:rsidRPr="004256BC" w:rsidRDefault="004256BC" w:rsidP="004256BC">
            <w:pPr>
              <w:numPr>
                <w:ilvl w:val="0"/>
                <w:numId w:val="25"/>
              </w:numPr>
              <w:spacing w:before="100" w:beforeAutospacing="1" w:after="100" w:afterAutospacing="1"/>
              <w:jc w:val="left"/>
              <w:rPr>
                <w:rFonts w:cs="Arial"/>
                <w:sz w:val="22"/>
                <w:szCs w:val="22"/>
                <w:lang w:val="en-GB" w:eastAsia="en-GB"/>
              </w:rPr>
            </w:pPr>
            <w:r w:rsidRPr="004256BC">
              <w:rPr>
                <w:rFonts w:cs="Arial"/>
                <w:sz w:val="22"/>
                <w:szCs w:val="22"/>
                <w:lang w:val="en-GB" w:eastAsia="en-GB"/>
              </w:rPr>
              <w:t>Proficiency in Microsoft Office (especially Excel, Word, Outlook) and data platforms used in justice/public service contexts.</w:t>
            </w:r>
          </w:p>
          <w:p w14:paraId="3729D084" w14:textId="77777777" w:rsidR="004256BC" w:rsidRPr="004256BC" w:rsidRDefault="004256BC" w:rsidP="004256BC">
            <w:pPr>
              <w:spacing w:before="100" w:beforeAutospacing="1" w:after="100" w:afterAutospacing="1"/>
              <w:jc w:val="left"/>
              <w:outlineLvl w:val="3"/>
              <w:rPr>
                <w:rFonts w:cs="Arial"/>
                <w:b/>
                <w:bCs/>
                <w:sz w:val="22"/>
                <w:szCs w:val="22"/>
                <w:lang w:val="en-GB" w:eastAsia="en-GB"/>
              </w:rPr>
            </w:pPr>
            <w:r w:rsidRPr="004256BC">
              <w:rPr>
                <w:rFonts w:cs="Arial"/>
                <w:b/>
                <w:bCs/>
                <w:sz w:val="22"/>
                <w:szCs w:val="22"/>
                <w:lang w:val="en-GB" w:eastAsia="en-GB"/>
              </w:rPr>
              <w:lastRenderedPageBreak/>
              <w:t>Behaviours and Attributes</w:t>
            </w:r>
          </w:p>
          <w:p w14:paraId="5A312EF2" w14:textId="77777777" w:rsidR="004256BC" w:rsidRPr="004256BC" w:rsidRDefault="004256BC" w:rsidP="004256BC">
            <w:pPr>
              <w:numPr>
                <w:ilvl w:val="0"/>
                <w:numId w:val="26"/>
              </w:numPr>
              <w:spacing w:before="100" w:beforeAutospacing="1" w:after="100" w:afterAutospacing="1"/>
              <w:jc w:val="left"/>
              <w:rPr>
                <w:rFonts w:cs="Arial"/>
                <w:sz w:val="22"/>
                <w:szCs w:val="22"/>
                <w:lang w:val="en-GB" w:eastAsia="en-GB"/>
              </w:rPr>
            </w:pPr>
            <w:r w:rsidRPr="004256BC">
              <w:rPr>
                <w:rFonts w:cs="Arial"/>
                <w:sz w:val="22"/>
                <w:szCs w:val="22"/>
                <w:lang w:val="en-GB" w:eastAsia="en-GB"/>
              </w:rPr>
              <w:t>Committed to public service values and improving outcomes for people in custody.</w:t>
            </w:r>
          </w:p>
          <w:p w14:paraId="2BE2CF55" w14:textId="77777777" w:rsidR="004256BC" w:rsidRPr="004256BC" w:rsidRDefault="004256BC" w:rsidP="004256BC">
            <w:pPr>
              <w:numPr>
                <w:ilvl w:val="0"/>
                <w:numId w:val="26"/>
              </w:numPr>
              <w:spacing w:before="100" w:beforeAutospacing="1" w:after="100" w:afterAutospacing="1"/>
              <w:jc w:val="left"/>
              <w:rPr>
                <w:rFonts w:cs="Arial"/>
                <w:sz w:val="22"/>
                <w:szCs w:val="22"/>
                <w:lang w:val="en-GB" w:eastAsia="en-GB"/>
              </w:rPr>
            </w:pPr>
            <w:r w:rsidRPr="004256BC">
              <w:rPr>
                <w:rFonts w:cs="Arial"/>
                <w:sz w:val="22"/>
                <w:szCs w:val="22"/>
                <w:lang w:val="en-GB" w:eastAsia="en-GB"/>
              </w:rPr>
              <w:t>Integrity, professionalism, and a strong sense of personal accountability.</w:t>
            </w:r>
          </w:p>
          <w:p w14:paraId="3738CC6B" w14:textId="77777777" w:rsidR="004256BC" w:rsidRPr="004256BC" w:rsidRDefault="004256BC" w:rsidP="004256BC">
            <w:pPr>
              <w:numPr>
                <w:ilvl w:val="0"/>
                <w:numId w:val="26"/>
              </w:numPr>
              <w:spacing w:before="100" w:beforeAutospacing="1" w:after="100" w:afterAutospacing="1"/>
              <w:jc w:val="left"/>
              <w:rPr>
                <w:rFonts w:cs="Arial"/>
                <w:sz w:val="22"/>
                <w:szCs w:val="22"/>
                <w:lang w:val="en-GB" w:eastAsia="en-GB"/>
              </w:rPr>
            </w:pPr>
            <w:r w:rsidRPr="004256BC">
              <w:rPr>
                <w:rFonts w:cs="Arial"/>
                <w:sz w:val="22"/>
                <w:szCs w:val="22"/>
                <w:lang w:val="en-GB" w:eastAsia="en-GB"/>
              </w:rPr>
              <w:t>Curious, solutions-focused, and proactive in identifying risks and improving systems.</w:t>
            </w:r>
          </w:p>
          <w:p w14:paraId="1906E4DD" w14:textId="77777777" w:rsidR="004256BC" w:rsidRPr="004256BC" w:rsidRDefault="004256BC" w:rsidP="004256BC">
            <w:pPr>
              <w:numPr>
                <w:ilvl w:val="0"/>
                <w:numId w:val="26"/>
              </w:numPr>
              <w:spacing w:before="100" w:beforeAutospacing="1" w:after="100" w:afterAutospacing="1"/>
              <w:jc w:val="left"/>
              <w:rPr>
                <w:rFonts w:cs="Arial"/>
                <w:sz w:val="22"/>
                <w:szCs w:val="22"/>
                <w:lang w:val="en-GB" w:eastAsia="en-GB"/>
              </w:rPr>
            </w:pPr>
            <w:r w:rsidRPr="004256BC">
              <w:rPr>
                <w:rFonts w:cs="Arial"/>
                <w:sz w:val="22"/>
                <w:szCs w:val="22"/>
                <w:lang w:val="en-GB" w:eastAsia="en-GB"/>
              </w:rPr>
              <w:t>Able to work both independently and as a team player within a high-pressure environment.</w:t>
            </w:r>
          </w:p>
          <w:p w14:paraId="3886AA68" w14:textId="77777777" w:rsidR="004256BC" w:rsidRPr="004256BC" w:rsidRDefault="004256BC" w:rsidP="004256BC">
            <w:pPr>
              <w:numPr>
                <w:ilvl w:val="0"/>
                <w:numId w:val="26"/>
              </w:numPr>
              <w:spacing w:before="100" w:beforeAutospacing="1" w:after="100" w:afterAutospacing="1"/>
              <w:jc w:val="left"/>
              <w:rPr>
                <w:rFonts w:cs="Arial"/>
                <w:sz w:val="22"/>
                <w:szCs w:val="22"/>
                <w:lang w:val="en-GB" w:eastAsia="en-GB"/>
              </w:rPr>
            </w:pPr>
            <w:r w:rsidRPr="004256BC">
              <w:rPr>
                <w:rFonts w:cs="Arial"/>
                <w:sz w:val="22"/>
                <w:szCs w:val="22"/>
                <w:lang w:val="en-GB" w:eastAsia="en-GB"/>
              </w:rPr>
              <w:t>Resilient and adaptable, with the emotional intelligence to manage complex or sensitive issues calmly and effectively.</w:t>
            </w:r>
          </w:p>
          <w:p w14:paraId="50784F33" w14:textId="77777777" w:rsidR="004256BC" w:rsidRPr="004256BC" w:rsidRDefault="004256BC" w:rsidP="004256BC">
            <w:pPr>
              <w:spacing w:before="100" w:beforeAutospacing="1" w:after="100" w:afterAutospacing="1"/>
              <w:jc w:val="left"/>
              <w:outlineLvl w:val="2"/>
              <w:rPr>
                <w:rFonts w:cs="Arial"/>
                <w:b/>
                <w:bCs/>
                <w:sz w:val="22"/>
                <w:szCs w:val="22"/>
                <w:lang w:val="en-GB" w:eastAsia="en-GB"/>
              </w:rPr>
            </w:pPr>
            <w:r w:rsidRPr="004256BC">
              <w:rPr>
                <w:rFonts w:cs="Arial"/>
                <w:b/>
                <w:bCs/>
                <w:sz w:val="22"/>
                <w:szCs w:val="22"/>
                <w:lang w:val="en-GB" w:eastAsia="en-GB"/>
              </w:rPr>
              <w:t>Desirable Criteria</w:t>
            </w:r>
          </w:p>
          <w:p w14:paraId="32833CFB" w14:textId="77777777" w:rsidR="004256BC" w:rsidRPr="004256BC" w:rsidRDefault="004256BC" w:rsidP="004256BC">
            <w:pPr>
              <w:numPr>
                <w:ilvl w:val="0"/>
                <w:numId w:val="27"/>
              </w:numPr>
              <w:spacing w:before="100" w:beforeAutospacing="1" w:after="100" w:afterAutospacing="1"/>
              <w:jc w:val="left"/>
              <w:rPr>
                <w:rFonts w:cs="Arial"/>
                <w:sz w:val="22"/>
                <w:szCs w:val="22"/>
                <w:lang w:val="en-GB" w:eastAsia="en-GB"/>
              </w:rPr>
            </w:pPr>
            <w:r w:rsidRPr="004256BC">
              <w:rPr>
                <w:rFonts w:cs="Arial"/>
                <w:sz w:val="22"/>
                <w:szCs w:val="22"/>
                <w:lang w:val="en-GB" w:eastAsia="en-GB"/>
              </w:rPr>
              <w:t>Experience of contributing to HMIP inspections, IMB reviews, or other external scrutiny processes.</w:t>
            </w:r>
          </w:p>
          <w:p w14:paraId="6FC740C6" w14:textId="77777777" w:rsidR="004256BC" w:rsidRPr="004256BC" w:rsidRDefault="004256BC" w:rsidP="004256BC">
            <w:pPr>
              <w:numPr>
                <w:ilvl w:val="0"/>
                <w:numId w:val="27"/>
              </w:numPr>
              <w:spacing w:before="100" w:beforeAutospacing="1" w:after="100" w:afterAutospacing="1"/>
              <w:jc w:val="left"/>
              <w:rPr>
                <w:rFonts w:cs="Arial"/>
                <w:sz w:val="22"/>
                <w:szCs w:val="22"/>
                <w:lang w:val="en-GB" w:eastAsia="en-GB"/>
              </w:rPr>
            </w:pPr>
            <w:r w:rsidRPr="004256BC">
              <w:rPr>
                <w:rFonts w:cs="Arial"/>
                <w:sz w:val="22"/>
                <w:szCs w:val="22"/>
                <w:lang w:val="en-GB" w:eastAsia="en-GB"/>
              </w:rPr>
              <w:t>Previous experience working within a prison or custodial environment, or within HMPPS or MOJ structures.</w:t>
            </w:r>
          </w:p>
          <w:p w14:paraId="4A0CD2BB" w14:textId="77777777" w:rsidR="004256BC" w:rsidRPr="004256BC" w:rsidRDefault="004256BC" w:rsidP="004256BC">
            <w:pPr>
              <w:numPr>
                <w:ilvl w:val="0"/>
                <w:numId w:val="27"/>
              </w:numPr>
              <w:spacing w:before="100" w:beforeAutospacing="1" w:after="100" w:afterAutospacing="1"/>
              <w:jc w:val="left"/>
              <w:rPr>
                <w:rFonts w:cs="Arial"/>
                <w:sz w:val="22"/>
                <w:szCs w:val="22"/>
                <w:lang w:val="en-GB" w:eastAsia="en-GB"/>
              </w:rPr>
            </w:pPr>
            <w:r w:rsidRPr="004256BC">
              <w:rPr>
                <w:rFonts w:cs="Arial"/>
                <w:sz w:val="22"/>
                <w:szCs w:val="22"/>
                <w:lang w:val="en-GB" w:eastAsia="en-GB"/>
              </w:rPr>
              <w:t>Knowledge of continuous improvement models such as PDCA, Lean, or quality assurance frameworks.</w:t>
            </w:r>
          </w:p>
          <w:p w14:paraId="68FD31DD" w14:textId="77777777" w:rsidR="004256BC" w:rsidRPr="004256BC" w:rsidRDefault="004256BC" w:rsidP="004256BC">
            <w:pPr>
              <w:numPr>
                <w:ilvl w:val="0"/>
                <w:numId w:val="27"/>
              </w:numPr>
              <w:spacing w:before="100" w:beforeAutospacing="1" w:after="100" w:afterAutospacing="1"/>
              <w:jc w:val="left"/>
              <w:rPr>
                <w:rFonts w:cs="Arial"/>
                <w:sz w:val="22"/>
                <w:szCs w:val="22"/>
                <w:lang w:val="en-GB" w:eastAsia="en-GB"/>
              </w:rPr>
            </w:pPr>
            <w:r w:rsidRPr="004256BC">
              <w:rPr>
                <w:rFonts w:cs="Arial"/>
                <w:sz w:val="22"/>
                <w:szCs w:val="22"/>
                <w:lang w:val="en-GB" w:eastAsia="en-GB"/>
              </w:rPr>
              <w:t>Understanding of Civil Service governance, assurance structures, and inspection frameworks.</w:t>
            </w:r>
          </w:p>
          <w:p w14:paraId="6F00B978" w14:textId="77777777" w:rsidR="004256BC" w:rsidRPr="004256BC" w:rsidRDefault="004256BC" w:rsidP="00EA3990">
            <w:pPr>
              <w:pStyle w:val="titregris"/>
              <w:framePr w:hSpace="0" w:wrap="auto" w:vAnchor="margin" w:hAnchor="text" w:xAlign="left" w:yAlign="inline"/>
              <w:rPr>
                <w:b w:val="0"/>
                <w:sz w:val="22"/>
                <w:szCs w:val="22"/>
              </w:rPr>
            </w:pPr>
          </w:p>
        </w:tc>
      </w:tr>
      <w:tr w:rsidR="00EA3990" w:rsidRPr="00315425" w14:paraId="0877EDF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575580"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F259939" w14:textId="77777777" w:rsidTr="004256BC">
        <w:trPr>
          <w:trHeight w:val="620"/>
        </w:trPr>
        <w:tc>
          <w:tcPr>
            <w:tcW w:w="10458" w:type="dxa"/>
            <w:tcBorders>
              <w:top w:val="nil"/>
              <w:left w:val="single" w:sz="2" w:space="0" w:color="auto"/>
              <w:bottom w:val="single" w:sz="4" w:space="0" w:color="auto"/>
              <w:right w:val="single" w:sz="4" w:space="0" w:color="auto"/>
            </w:tcBorders>
          </w:tcPr>
          <w:p w14:paraId="7BF1B841" w14:textId="789CA71B" w:rsidR="00EA3990" w:rsidRPr="004256BC" w:rsidRDefault="009370F8" w:rsidP="009370F8">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Being Resilient</w:t>
            </w:r>
          </w:p>
          <w:p w14:paraId="2CC3A2C8" w14:textId="1F3EA748" w:rsidR="009370F8" w:rsidRPr="004256BC" w:rsidRDefault="009370F8" w:rsidP="009370F8">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Ensures accountability</w:t>
            </w:r>
          </w:p>
          <w:p w14:paraId="41A44687" w14:textId="04C3F0EB" w:rsidR="009370F8" w:rsidRPr="004256BC" w:rsidRDefault="009370F8" w:rsidP="009370F8">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Communicates effectively</w:t>
            </w:r>
          </w:p>
          <w:p w14:paraId="6BFE2B54" w14:textId="6E29D928" w:rsidR="009370F8" w:rsidRPr="004256BC" w:rsidRDefault="009370F8" w:rsidP="009370F8">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Builds effective teams</w:t>
            </w:r>
          </w:p>
          <w:p w14:paraId="172BDC3E" w14:textId="238167BA" w:rsidR="009370F8" w:rsidRPr="004256BC" w:rsidRDefault="009370F8" w:rsidP="009370F8">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Decision Quality</w:t>
            </w:r>
          </w:p>
          <w:p w14:paraId="36750889" w14:textId="7CF26CAB" w:rsidR="009370F8" w:rsidRPr="004256BC" w:rsidRDefault="009370F8" w:rsidP="009370F8">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Courage</w:t>
            </w:r>
          </w:p>
          <w:p w14:paraId="7B3FCB63" w14:textId="452138B0" w:rsidR="009370F8" w:rsidRPr="004256BC" w:rsidRDefault="009370F8" w:rsidP="009370F8">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Drives Results</w:t>
            </w:r>
          </w:p>
          <w:p w14:paraId="3AFE1E5C" w14:textId="77777777" w:rsidR="004256BC" w:rsidRPr="004256BC" w:rsidRDefault="004256BC" w:rsidP="004256BC">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Strategic Thinking</w:t>
            </w:r>
          </w:p>
          <w:p w14:paraId="343AA833" w14:textId="77777777" w:rsidR="004256BC" w:rsidRPr="004256BC" w:rsidRDefault="004256BC" w:rsidP="004256BC">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Collaborates and Partners</w:t>
            </w:r>
          </w:p>
          <w:p w14:paraId="21AD5479" w14:textId="77777777" w:rsidR="004256BC" w:rsidRPr="004256BC" w:rsidRDefault="004256BC" w:rsidP="004256BC">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Leads Change</w:t>
            </w:r>
          </w:p>
          <w:p w14:paraId="1F9C0B62" w14:textId="77777777" w:rsidR="004256BC" w:rsidRPr="004256BC" w:rsidRDefault="004256BC" w:rsidP="004256BC">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Stakeholder Focus</w:t>
            </w:r>
          </w:p>
          <w:p w14:paraId="41947134" w14:textId="77777777" w:rsidR="004256BC" w:rsidRPr="004256BC" w:rsidRDefault="004256BC" w:rsidP="004256BC">
            <w:pPr>
              <w:pStyle w:val="ListParagraph"/>
              <w:numPr>
                <w:ilvl w:val="0"/>
                <w:numId w:val="18"/>
              </w:numPr>
              <w:spacing w:before="40"/>
              <w:jc w:val="left"/>
              <w:rPr>
                <w:rFonts w:cs="Arial"/>
                <w:color w:val="000000" w:themeColor="text1"/>
                <w:sz w:val="22"/>
                <w:szCs w:val="22"/>
                <w:lang w:val="en-GB"/>
              </w:rPr>
            </w:pPr>
            <w:r w:rsidRPr="004256BC">
              <w:rPr>
                <w:rFonts w:cs="Arial"/>
                <w:color w:val="000000" w:themeColor="text1"/>
                <w:sz w:val="22"/>
                <w:szCs w:val="22"/>
                <w:lang w:val="en-GB"/>
              </w:rPr>
              <w:t>Problem Solving</w:t>
            </w:r>
          </w:p>
          <w:p w14:paraId="3D772EB1" w14:textId="63BE1E57" w:rsidR="004256BC" w:rsidRPr="009370F8" w:rsidRDefault="004256BC" w:rsidP="004256BC">
            <w:pPr>
              <w:pStyle w:val="ListParagraph"/>
              <w:numPr>
                <w:ilvl w:val="0"/>
                <w:numId w:val="18"/>
              </w:numPr>
              <w:spacing w:before="40"/>
              <w:jc w:val="left"/>
              <w:rPr>
                <w:rFonts w:cs="Arial"/>
                <w:color w:val="000000" w:themeColor="text1"/>
                <w:szCs w:val="20"/>
                <w:lang w:val="en-GB"/>
              </w:rPr>
            </w:pPr>
            <w:r w:rsidRPr="004256BC">
              <w:rPr>
                <w:rFonts w:cs="Arial"/>
                <w:color w:val="000000" w:themeColor="text1"/>
                <w:sz w:val="22"/>
                <w:szCs w:val="22"/>
                <w:lang w:val="en-GB"/>
              </w:rPr>
              <w:t>Influence and Negotiation</w:t>
            </w:r>
          </w:p>
          <w:p w14:paraId="53AC96E4" w14:textId="77777777" w:rsidR="00EA3990" w:rsidRPr="00EA3990" w:rsidRDefault="00EA3990" w:rsidP="00EA3990">
            <w:pPr>
              <w:spacing w:before="40"/>
              <w:ind w:left="720"/>
              <w:jc w:val="left"/>
              <w:rPr>
                <w:rFonts w:cs="Arial"/>
                <w:color w:val="000000" w:themeColor="text1"/>
                <w:szCs w:val="20"/>
                <w:lang w:val="en-GB"/>
              </w:rPr>
            </w:pPr>
          </w:p>
        </w:tc>
      </w:tr>
    </w:tbl>
    <w:p w14:paraId="791FE53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3840EF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7A9ADF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9372BC9" w14:textId="77777777" w:rsidTr="00353228">
        <w:trPr>
          <w:trHeight w:val="620"/>
        </w:trPr>
        <w:tc>
          <w:tcPr>
            <w:tcW w:w="10456" w:type="dxa"/>
            <w:tcBorders>
              <w:top w:val="nil"/>
              <w:left w:val="single" w:sz="2" w:space="0" w:color="auto"/>
              <w:bottom w:val="single" w:sz="4" w:space="0" w:color="auto"/>
              <w:right w:val="single" w:sz="4" w:space="0" w:color="auto"/>
            </w:tcBorders>
          </w:tcPr>
          <w:p w14:paraId="1C3FB81C" w14:textId="4139AFD3"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D8912B6" w14:textId="77777777" w:rsidTr="00E57078">
              <w:tc>
                <w:tcPr>
                  <w:tcW w:w="2122" w:type="dxa"/>
                </w:tcPr>
                <w:p w14:paraId="5386C67D" w14:textId="77777777" w:rsidR="00E57078" w:rsidRDefault="00E57078" w:rsidP="00D667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4798BB7" w14:textId="77E14E07" w:rsidR="00E57078" w:rsidRDefault="004256BC" w:rsidP="00D66788">
                  <w:pPr>
                    <w:framePr w:hSpace="180" w:wrap="around" w:vAnchor="text" w:hAnchor="margin" w:xAlign="center" w:y="192"/>
                    <w:spacing w:before="40"/>
                    <w:rPr>
                      <w:rFonts w:cs="Arial"/>
                      <w:color w:val="000000" w:themeColor="text1"/>
                      <w:szCs w:val="20"/>
                      <w:lang w:val="en-GB"/>
                    </w:rPr>
                  </w:pPr>
                  <w:r>
                    <w:rPr>
                      <w:rFonts w:cs="Arial"/>
                      <w:color w:val="000000" w:themeColor="text1"/>
                      <w:szCs w:val="20"/>
                      <w:lang w:val="en-GB"/>
                    </w:rPr>
                    <w:t>2.0</w:t>
                  </w:r>
                </w:p>
              </w:tc>
              <w:tc>
                <w:tcPr>
                  <w:tcW w:w="2557" w:type="dxa"/>
                </w:tcPr>
                <w:p w14:paraId="75F1D14E" w14:textId="77777777" w:rsidR="00E57078" w:rsidRDefault="00E57078" w:rsidP="00D667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8F797D8" w14:textId="1327BF0B" w:rsidR="00E57078" w:rsidRDefault="004256BC" w:rsidP="00D667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July 2025</w:t>
                  </w:r>
                </w:p>
              </w:tc>
            </w:tr>
            <w:tr w:rsidR="00E57078" w14:paraId="54AAD298" w14:textId="77777777" w:rsidTr="00E57078">
              <w:tc>
                <w:tcPr>
                  <w:tcW w:w="2122" w:type="dxa"/>
                </w:tcPr>
                <w:p w14:paraId="7E9F9067" w14:textId="77777777" w:rsidR="00E57078" w:rsidRDefault="00E57078" w:rsidP="00D667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A73B9C7" w14:textId="46A6290A" w:rsidR="00E57078" w:rsidRDefault="009370F8" w:rsidP="00D6678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Head of </w:t>
                  </w:r>
                  <w:r w:rsidR="004256BC">
                    <w:rPr>
                      <w:rFonts w:cs="Arial"/>
                      <w:color w:val="000000" w:themeColor="text1"/>
                      <w:szCs w:val="20"/>
                      <w:lang w:val="en-GB"/>
                    </w:rPr>
                    <w:t>Business Assurance &amp; Performance</w:t>
                  </w:r>
                </w:p>
              </w:tc>
            </w:tr>
          </w:tbl>
          <w:p w14:paraId="385E001D" w14:textId="77777777" w:rsidR="00E57078" w:rsidRPr="00EA3990" w:rsidRDefault="00E57078" w:rsidP="00353228">
            <w:pPr>
              <w:spacing w:before="40"/>
              <w:ind w:left="720"/>
              <w:jc w:val="left"/>
              <w:rPr>
                <w:rFonts w:cs="Arial"/>
                <w:color w:val="000000" w:themeColor="text1"/>
                <w:szCs w:val="20"/>
                <w:lang w:val="en-GB"/>
              </w:rPr>
            </w:pPr>
          </w:p>
        </w:tc>
      </w:tr>
    </w:tbl>
    <w:p w14:paraId="249769EE" w14:textId="77777777" w:rsidR="00E57078" w:rsidRDefault="00E57078" w:rsidP="00E57078">
      <w:pPr>
        <w:spacing w:after="200" w:line="276" w:lineRule="auto"/>
        <w:jc w:val="left"/>
      </w:pPr>
    </w:p>
    <w:p w14:paraId="5FC793DE" w14:textId="4AA86DCF" w:rsidR="00E57078" w:rsidRDefault="00E57078" w:rsidP="000E3EF7">
      <w:pPr>
        <w:spacing w:after="200" w:line="276" w:lineRule="auto"/>
        <w:jc w:val="left"/>
      </w:pPr>
    </w:p>
    <w:p w14:paraId="3A897E2F" w14:textId="77777777" w:rsidR="003458FA" w:rsidRPr="00366A73" w:rsidRDefault="003458FA" w:rsidP="000E3EF7">
      <w:pPr>
        <w:spacing w:after="200" w:line="276" w:lineRule="auto"/>
        <w:jc w:val="left"/>
      </w:pPr>
    </w:p>
    <w:sectPr w:rsidR="003458FA"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490C" w14:textId="77777777" w:rsidR="00F453D7" w:rsidRDefault="00F453D7" w:rsidP="00361A44">
      <w:r>
        <w:separator/>
      </w:r>
    </w:p>
  </w:endnote>
  <w:endnote w:type="continuationSeparator" w:id="0">
    <w:p w14:paraId="2FD13DD9" w14:textId="77777777" w:rsidR="00F453D7" w:rsidRDefault="00F453D7" w:rsidP="0036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FEFA" w14:textId="77777777" w:rsidR="00F453D7" w:rsidRDefault="00F453D7" w:rsidP="00361A44">
      <w:r>
        <w:separator/>
      </w:r>
    </w:p>
  </w:footnote>
  <w:footnote w:type="continuationSeparator" w:id="0">
    <w:p w14:paraId="0A267DA8" w14:textId="77777777" w:rsidR="00F453D7" w:rsidRDefault="00F453D7" w:rsidP="00361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8D18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2643085"/>
    <w:multiLevelType w:val="multilevel"/>
    <w:tmpl w:val="2DEC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41F73"/>
    <w:multiLevelType w:val="hybridMultilevel"/>
    <w:tmpl w:val="65D0435A"/>
    <w:lvl w:ilvl="0" w:tplc="AC4C604A">
      <w:start w:val="1"/>
      <w:numFmt w:val="bullet"/>
      <w:lvlText w:val=""/>
      <w:lvlJc w:val="left"/>
      <w:pPr>
        <w:ind w:left="720" w:hanging="360"/>
      </w:pPr>
      <w:rPr>
        <w:rFonts w:ascii="Symbol" w:hAnsi="Symbol" w:hint="default"/>
        <w:color w:val="C6000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7309F3"/>
    <w:multiLevelType w:val="multilevel"/>
    <w:tmpl w:val="D942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338BC"/>
    <w:multiLevelType w:val="multilevel"/>
    <w:tmpl w:val="95A2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455915"/>
    <w:multiLevelType w:val="multilevel"/>
    <w:tmpl w:val="7B72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F7655"/>
    <w:multiLevelType w:val="multilevel"/>
    <w:tmpl w:val="BA56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816BF3"/>
    <w:multiLevelType w:val="multilevel"/>
    <w:tmpl w:val="2FB8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313EA9"/>
    <w:multiLevelType w:val="multilevel"/>
    <w:tmpl w:val="3F0C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D05AC"/>
    <w:multiLevelType w:val="hybridMultilevel"/>
    <w:tmpl w:val="9D2AC816"/>
    <w:lvl w:ilvl="0" w:tplc="AC4C604A">
      <w:start w:val="1"/>
      <w:numFmt w:val="bullet"/>
      <w:lvlText w:val=""/>
      <w:lvlJc w:val="left"/>
      <w:pPr>
        <w:ind w:left="720" w:hanging="360"/>
      </w:pPr>
      <w:rPr>
        <w:rFonts w:ascii="Symbol" w:hAnsi="Symbol" w:hint="default"/>
        <w:color w:val="C6000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649BD"/>
    <w:multiLevelType w:val="hybridMultilevel"/>
    <w:tmpl w:val="E5FEF8CE"/>
    <w:lvl w:ilvl="0" w:tplc="08090001">
      <w:start w:val="1"/>
      <w:numFmt w:val="bullet"/>
      <w:lvlText w:val=""/>
      <w:lvlJc w:val="left"/>
      <w:pPr>
        <w:ind w:left="720" w:hanging="360"/>
      </w:pPr>
      <w:rPr>
        <w:rFonts w:ascii="Symbol" w:hAnsi="Symbol" w:hint="default"/>
        <w:color w:val="C6000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D617EB"/>
    <w:multiLevelType w:val="multilevel"/>
    <w:tmpl w:val="A7F0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72450D"/>
    <w:multiLevelType w:val="multilevel"/>
    <w:tmpl w:val="A91E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09188">
    <w:abstractNumId w:val="12"/>
  </w:num>
  <w:num w:numId="2" w16cid:durableId="1375425793">
    <w:abstractNumId w:val="20"/>
  </w:num>
  <w:num w:numId="3" w16cid:durableId="964234838">
    <w:abstractNumId w:val="3"/>
  </w:num>
  <w:num w:numId="4" w16cid:durableId="889414447">
    <w:abstractNumId w:val="17"/>
  </w:num>
  <w:num w:numId="5" w16cid:durableId="1409840354">
    <w:abstractNumId w:val="8"/>
  </w:num>
  <w:num w:numId="6" w16cid:durableId="1968074716">
    <w:abstractNumId w:val="4"/>
  </w:num>
  <w:num w:numId="7" w16cid:durableId="1026519949">
    <w:abstractNumId w:val="21"/>
  </w:num>
  <w:num w:numId="8" w16cid:durableId="1882090587">
    <w:abstractNumId w:val="11"/>
  </w:num>
  <w:num w:numId="9" w16cid:durableId="1455438761">
    <w:abstractNumId w:val="25"/>
  </w:num>
  <w:num w:numId="10" w16cid:durableId="1638297520">
    <w:abstractNumId w:val="26"/>
  </w:num>
  <w:num w:numId="11" w16cid:durableId="826289523">
    <w:abstractNumId w:val="16"/>
  </w:num>
  <w:num w:numId="12" w16cid:durableId="1504855867">
    <w:abstractNumId w:val="0"/>
  </w:num>
  <w:num w:numId="13" w16cid:durableId="96171919">
    <w:abstractNumId w:val="22"/>
  </w:num>
  <w:num w:numId="14" w16cid:durableId="1127237723">
    <w:abstractNumId w:val="7"/>
  </w:num>
  <w:num w:numId="15" w16cid:durableId="836964596">
    <w:abstractNumId w:val="23"/>
  </w:num>
  <w:num w:numId="16" w16cid:durableId="103035491">
    <w:abstractNumId w:val="24"/>
  </w:num>
  <w:num w:numId="17" w16cid:durableId="1946840598">
    <w:abstractNumId w:val="15"/>
  </w:num>
  <w:num w:numId="18" w16cid:durableId="457381334">
    <w:abstractNumId w:val="2"/>
  </w:num>
  <w:num w:numId="19" w16cid:durableId="244650386">
    <w:abstractNumId w:val="14"/>
  </w:num>
  <w:num w:numId="20" w16cid:durableId="1300111026">
    <w:abstractNumId w:val="27"/>
  </w:num>
  <w:num w:numId="21" w16cid:durableId="453837697">
    <w:abstractNumId w:val="9"/>
  </w:num>
  <w:num w:numId="22" w16cid:durableId="505293116">
    <w:abstractNumId w:val="6"/>
  </w:num>
  <w:num w:numId="23" w16cid:durableId="1685159053">
    <w:abstractNumId w:val="19"/>
  </w:num>
  <w:num w:numId="24" w16cid:durableId="784156667">
    <w:abstractNumId w:val="1"/>
  </w:num>
  <w:num w:numId="25" w16cid:durableId="774715529">
    <w:abstractNumId w:val="13"/>
  </w:num>
  <w:num w:numId="26" w16cid:durableId="1176575979">
    <w:abstractNumId w:val="5"/>
  </w:num>
  <w:num w:numId="27" w16cid:durableId="2060277339">
    <w:abstractNumId w:val="10"/>
  </w:num>
  <w:num w:numId="28" w16cid:durableId="3764688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11B52"/>
    <w:rsid w:val="00144E5D"/>
    <w:rsid w:val="001F1F6A"/>
    <w:rsid w:val="0028533B"/>
    <w:rsid w:val="00293E5D"/>
    <w:rsid w:val="002A0173"/>
    <w:rsid w:val="002B1DC6"/>
    <w:rsid w:val="003458FA"/>
    <w:rsid w:val="00361A44"/>
    <w:rsid w:val="00366A73"/>
    <w:rsid w:val="0040601F"/>
    <w:rsid w:val="004238D8"/>
    <w:rsid w:val="00424476"/>
    <w:rsid w:val="004256BC"/>
    <w:rsid w:val="004B2221"/>
    <w:rsid w:val="004C69EF"/>
    <w:rsid w:val="004C705F"/>
    <w:rsid w:val="004D170A"/>
    <w:rsid w:val="00506283"/>
    <w:rsid w:val="00520545"/>
    <w:rsid w:val="005E5B63"/>
    <w:rsid w:val="00613392"/>
    <w:rsid w:val="00616B0B"/>
    <w:rsid w:val="00646B79"/>
    <w:rsid w:val="00656519"/>
    <w:rsid w:val="00674674"/>
    <w:rsid w:val="006802C0"/>
    <w:rsid w:val="006A6D6E"/>
    <w:rsid w:val="00745A24"/>
    <w:rsid w:val="007A4A06"/>
    <w:rsid w:val="007F602D"/>
    <w:rsid w:val="00811751"/>
    <w:rsid w:val="00867BD7"/>
    <w:rsid w:val="008B64DE"/>
    <w:rsid w:val="008D1A2B"/>
    <w:rsid w:val="00925D37"/>
    <w:rsid w:val="009370F8"/>
    <w:rsid w:val="00965163"/>
    <w:rsid w:val="0097008F"/>
    <w:rsid w:val="009F6AC4"/>
    <w:rsid w:val="00A37146"/>
    <w:rsid w:val="00AD1DEC"/>
    <w:rsid w:val="00B10499"/>
    <w:rsid w:val="00B50949"/>
    <w:rsid w:val="00B70457"/>
    <w:rsid w:val="00BF4D80"/>
    <w:rsid w:val="00C22530"/>
    <w:rsid w:val="00C4467B"/>
    <w:rsid w:val="00C4695A"/>
    <w:rsid w:val="00C61430"/>
    <w:rsid w:val="00CC0297"/>
    <w:rsid w:val="00CC2929"/>
    <w:rsid w:val="00D65B9D"/>
    <w:rsid w:val="00D66788"/>
    <w:rsid w:val="00D949FB"/>
    <w:rsid w:val="00DE5E49"/>
    <w:rsid w:val="00E26263"/>
    <w:rsid w:val="00E31AA0"/>
    <w:rsid w:val="00E33C91"/>
    <w:rsid w:val="00E57078"/>
    <w:rsid w:val="00E70392"/>
    <w:rsid w:val="00E86121"/>
    <w:rsid w:val="00EA3990"/>
    <w:rsid w:val="00EA4C16"/>
    <w:rsid w:val="00EA5822"/>
    <w:rsid w:val="00EF17F6"/>
    <w:rsid w:val="00EF6ED7"/>
    <w:rsid w:val="00F25ADF"/>
    <w:rsid w:val="00F453D7"/>
    <w:rsid w:val="00F4618B"/>
    <w:rsid w:val="00F479E6"/>
    <w:rsid w:val="00F97051"/>
    <w:rsid w:val="00FA1A0A"/>
    <w:rsid w:val="00FC0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D7AE639"/>
  <w15:docId w15:val="{5D6960D4-EF3E-4BC1-A32F-8F3C93EA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4256BC"/>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7051"/>
    <w:rPr>
      <w:b/>
      <w:bCs/>
    </w:rPr>
  </w:style>
  <w:style w:type="character" w:customStyle="1" w:styleId="Heading3Char">
    <w:name w:val="Heading 3 Char"/>
    <w:basedOn w:val="DefaultParagraphFont"/>
    <w:link w:val="Heading3"/>
    <w:uiPriority w:val="9"/>
    <w:semiHidden/>
    <w:rsid w:val="004256BC"/>
    <w:rPr>
      <w:rFonts w:asciiTheme="majorHAnsi" w:eastAsiaTheme="majorEastAsia" w:hAnsiTheme="majorHAnsi" w:cstheme="majorBidi"/>
      <w:color w:val="243F60" w:themeColor="accent1" w:themeShade="7F"/>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45344411">
      <w:bodyDiv w:val="1"/>
      <w:marLeft w:val="0"/>
      <w:marRight w:val="0"/>
      <w:marTop w:val="0"/>
      <w:marBottom w:val="0"/>
      <w:divBdr>
        <w:top w:val="none" w:sz="0" w:space="0" w:color="auto"/>
        <w:left w:val="none" w:sz="0" w:space="0" w:color="auto"/>
        <w:bottom w:val="none" w:sz="0" w:space="0" w:color="auto"/>
        <w:right w:val="none" w:sz="0" w:space="0" w:color="auto"/>
      </w:divBdr>
    </w:div>
    <w:div w:id="533344382">
      <w:bodyDiv w:val="1"/>
      <w:marLeft w:val="0"/>
      <w:marRight w:val="0"/>
      <w:marTop w:val="0"/>
      <w:marBottom w:val="0"/>
      <w:divBdr>
        <w:top w:val="none" w:sz="0" w:space="0" w:color="auto"/>
        <w:left w:val="none" w:sz="0" w:space="0" w:color="auto"/>
        <w:bottom w:val="none" w:sz="0" w:space="0" w:color="auto"/>
        <w:right w:val="none" w:sz="0" w:space="0" w:color="auto"/>
      </w:divBdr>
    </w:div>
    <w:div w:id="562835003">
      <w:bodyDiv w:val="1"/>
      <w:marLeft w:val="0"/>
      <w:marRight w:val="0"/>
      <w:marTop w:val="0"/>
      <w:marBottom w:val="0"/>
      <w:divBdr>
        <w:top w:val="none" w:sz="0" w:space="0" w:color="auto"/>
        <w:left w:val="none" w:sz="0" w:space="0" w:color="auto"/>
        <w:bottom w:val="none" w:sz="0" w:space="0" w:color="auto"/>
        <w:right w:val="none" w:sz="0" w:space="0" w:color="auto"/>
      </w:divBdr>
    </w:div>
    <w:div w:id="633756285">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51981161">
      <w:bodyDiv w:val="1"/>
      <w:marLeft w:val="0"/>
      <w:marRight w:val="0"/>
      <w:marTop w:val="0"/>
      <w:marBottom w:val="0"/>
      <w:divBdr>
        <w:top w:val="none" w:sz="0" w:space="0" w:color="auto"/>
        <w:left w:val="none" w:sz="0" w:space="0" w:color="auto"/>
        <w:bottom w:val="none" w:sz="0" w:space="0" w:color="auto"/>
        <w:right w:val="none" w:sz="0" w:space="0" w:color="auto"/>
      </w:divBdr>
    </w:div>
    <w:div w:id="1366370468">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90EE3C-DEE3-4D60-958C-16ABC70B23E3}"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01968329-5E0E-4855-BBBE-B8BFB7B9E28C}">
      <dgm:prSet phldrT="[Text]" custT="1"/>
      <dgm:spPr/>
      <dgm:t>
        <a:bodyPr/>
        <a:lstStyle/>
        <a:p>
          <a:r>
            <a:rPr lang="en-GB" sz="1400"/>
            <a:t>Head of Business Assurance &amp; Performance</a:t>
          </a:r>
        </a:p>
      </dgm:t>
    </dgm:pt>
    <dgm:pt modelId="{7DF7C10F-FAD1-48E0-A84D-5089878D7A8E}" type="parTrans" cxnId="{C019A174-3CBA-4E47-BF5F-AE8E79F15E43}">
      <dgm:prSet/>
      <dgm:spPr/>
      <dgm:t>
        <a:bodyPr/>
        <a:lstStyle/>
        <a:p>
          <a:endParaRPr lang="en-GB"/>
        </a:p>
      </dgm:t>
    </dgm:pt>
    <dgm:pt modelId="{41A42114-9297-4FDD-A2B8-FB5709839057}" type="sibTrans" cxnId="{C019A174-3CBA-4E47-BF5F-AE8E79F15E43}">
      <dgm:prSet/>
      <dgm:spPr/>
      <dgm:t>
        <a:bodyPr/>
        <a:lstStyle/>
        <a:p>
          <a:endParaRPr lang="en-GB"/>
        </a:p>
      </dgm:t>
    </dgm:pt>
    <dgm:pt modelId="{C22C80DB-DC4A-48E0-8D2A-692934B78B8B}">
      <dgm:prSet phldrT="[Text]" custT="1"/>
      <dgm:spPr/>
      <dgm:t>
        <a:bodyPr/>
        <a:lstStyle/>
        <a:p>
          <a:r>
            <a:rPr lang="en-GB" sz="1400"/>
            <a:t>Contracts and Assurance Manager</a:t>
          </a:r>
        </a:p>
      </dgm:t>
    </dgm:pt>
    <dgm:pt modelId="{9F4634A1-3B79-4B80-8139-FFA033C554F0}" type="parTrans" cxnId="{2D51CDF0-9BB1-45E9-8617-A67FBF5B3E7E}">
      <dgm:prSet/>
      <dgm:spPr/>
      <dgm:t>
        <a:bodyPr/>
        <a:lstStyle/>
        <a:p>
          <a:endParaRPr lang="en-GB"/>
        </a:p>
      </dgm:t>
    </dgm:pt>
    <dgm:pt modelId="{F310E48E-BAEC-4345-A40D-21C91C0AFD59}" type="sibTrans" cxnId="{2D51CDF0-9BB1-45E9-8617-A67FBF5B3E7E}">
      <dgm:prSet/>
      <dgm:spPr/>
      <dgm:t>
        <a:bodyPr/>
        <a:lstStyle/>
        <a:p>
          <a:endParaRPr lang="en-GB"/>
        </a:p>
      </dgm:t>
    </dgm:pt>
    <dgm:pt modelId="{DF3FB462-E845-4DF3-8B22-91B64A0B946B}">
      <dgm:prSet custT="1"/>
      <dgm:spPr/>
      <dgm:t>
        <a:bodyPr/>
        <a:lstStyle/>
        <a:p>
          <a:r>
            <a:rPr lang="en-GB" sz="1400"/>
            <a:t>Senior Administrator</a:t>
          </a:r>
        </a:p>
      </dgm:t>
    </dgm:pt>
    <dgm:pt modelId="{3FB4F733-45B6-430D-AEC5-8E5BE3E328B1}" type="parTrans" cxnId="{249C3117-3ABD-4424-A637-68C933CE10D3}">
      <dgm:prSet/>
      <dgm:spPr/>
      <dgm:t>
        <a:bodyPr/>
        <a:lstStyle/>
        <a:p>
          <a:endParaRPr lang="en-GB"/>
        </a:p>
      </dgm:t>
    </dgm:pt>
    <dgm:pt modelId="{2EC43195-35F1-4315-842D-594E210D3CBB}" type="sibTrans" cxnId="{249C3117-3ABD-4424-A637-68C933CE10D3}">
      <dgm:prSet/>
      <dgm:spPr/>
      <dgm:t>
        <a:bodyPr/>
        <a:lstStyle/>
        <a:p>
          <a:endParaRPr lang="en-GB"/>
        </a:p>
      </dgm:t>
    </dgm:pt>
    <dgm:pt modelId="{DD235888-E946-4F0D-8CC8-5F36A97E4026}" type="pres">
      <dgm:prSet presAssocID="{CD90EE3C-DEE3-4D60-958C-16ABC70B23E3}" presName="diagram" presStyleCnt="0">
        <dgm:presLayoutVars>
          <dgm:dir/>
          <dgm:resizeHandles val="exact"/>
        </dgm:presLayoutVars>
      </dgm:prSet>
      <dgm:spPr/>
    </dgm:pt>
    <dgm:pt modelId="{8C0376FB-6B73-46E8-AE89-33B52BEA33B8}" type="pres">
      <dgm:prSet presAssocID="{01968329-5E0E-4855-BBBE-B8BFB7B9E28C}" presName="node" presStyleLbl="node1" presStyleIdx="0" presStyleCnt="3" custScaleX="33954" custScaleY="19660" custLinFactNeighborX="21821" custLinFactNeighborY="-12124">
        <dgm:presLayoutVars>
          <dgm:bulletEnabled val="1"/>
        </dgm:presLayoutVars>
      </dgm:prSet>
      <dgm:spPr/>
    </dgm:pt>
    <dgm:pt modelId="{291AA74A-1E46-41FC-A65B-E87505982FD5}" type="pres">
      <dgm:prSet presAssocID="{41A42114-9297-4FDD-A2B8-FB5709839057}" presName="sibTrans" presStyleCnt="0"/>
      <dgm:spPr/>
    </dgm:pt>
    <dgm:pt modelId="{D304F2E8-94EA-4660-9734-07AF00AEF5FD}" type="pres">
      <dgm:prSet presAssocID="{DF3FB462-E845-4DF3-8B22-91B64A0B946B}" presName="node" presStyleLbl="node1" presStyleIdx="1" presStyleCnt="3" custFlipHor="1" custScaleX="34032" custScaleY="20584" custLinFactNeighborX="-21870" custLinFactNeighborY="44337">
        <dgm:presLayoutVars>
          <dgm:bulletEnabled val="1"/>
        </dgm:presLayoutVars>
      </dgm:prSet>
      <dgm:spPr/>
    </dgm:pt>
    <dgm:pt modelId="{57DEC8C4-CE54-4DC9-B0E9-23D730E9CDB8}" type="pres">
      <dgm:prSet presAssocID="{2EC43195-35F1-4315-842D-594E210D3CBB}" presName="sibTrans" presStyleCnt="0"/>
      <dgm:spPr/>
    </dgm:pt>
    <dgm:pt modelId="{3E8EF186-7864-422F-9129-D7080AEAA183}" type="pres">
      <dgm:prSet presAssocID="{C22C80DB-DC4A-48E0-8D2A-692934B78B8B}" presName="node" presStyleLbl="node1" presStyleIdx="2" presStyleCnt="3" custScaleX="33735" custScaleY="20832" custLinFactNeighborX="-146" custLinFactNeighborY="-21898">
        <dgm:presLayoutVars>
          <dgm:bulletEnabled val="1"/>
        </dgm:presLayoutVars>
      </dgm:prSet>
      <dgm:spPr/>
    </dgm:pt>
  </dgm:ptLst>
  <dgm:cxnLst>
    <dgm:cxn modelId="{CFED1801-4954-4A3A-906F-228A0E656547}" type="presOf" srcId="{DF3FB462-E845-4DF3-8B22-91B64A0B946B}" destId="{D304F2E8-94EA-4660-9734-07AF00AEF5FD}" srcOrd="0" destOrd="0" presId="urn:microsoft.com/office/officeart/2005/8/layout/default"/>
    <dgm:cxn modelId="{C1C37613-3C62-41C1-BC7A-5BAF8AFFC998}" type="presOf" srcId="{CD90EE3C-DEE3-4D60-958C-16ABC70B23E3}" destId="{DD235888-E946-4F0D-8CC8-5F36A97E4026}" srcOrd="0" destOrd="0" presId="urn:microsoft.com/office/officeart/2005/8/layout/default"/>
    <dgm:cxn modelId="{249C3117-3ABD-4424-A637-68C933CE10D3}" srcId="{CD90EE3C-DEE3-4D60-958C-16ABC70B23E3}" destId="{DF3FB462-E845-4DF3-8B22-91B64A0B946B}" srcOrd="1" destOrd="0" parTransId="{3FB4F733-45B6-430D-AEC5-8E5BE3E328B1}" sibTransId="{2EC43195-35F1-4315-842D-594E210D3CBB}"/>
    <dgm:cxn modelId="{EF16E446-D9BB-4AF7-A8AC-C54FA6E91D76}" type="presOf" srcId="{C22C80DB-DC4A-48E0-8D2A-692934B78B8B}" destId="{3E8EF186-7864-422F-9129-D7080AEAA183}" srcOrd="0" destOrd="0" presId="urn:microsoft.com/office/officeart/2005/8/layout/default"/>
    <dgm:cxn modelId="{AA267A72-3138-4120-8268-02B4BA0F9100}" type="presOf" srcId="{01968329-5E0E-4855-BBBE-B8BFB7B9E28C}" destId="{8C0376FB-6B73-46E8-AE89-33B52BEA33B8}" srcOrd="0" destOrd="0" presId="urn:microsoft.com/office/officeart/2005/8/layout/default"/>
    <dgm:cxn modelId="{C019A174-3CBA-4E47-BF5F-AE8E79F15E43}" srcId="{CD90EE3C-DEE3-4D60-958C-16ABC70B23E3}" destId="{01968329-5E0E-4855-BBBE-B8BFB7B9E28C}" srcOrd="0" destOrd="0" parTransId="{7DF7C10F-FAD1-48E0-A84D-5089878D7A8E}" sibTransId="{41A42114-9297-4FDD-A2B8-FB5709839057}"/>
    <dgm:cxn modelId="{2D51CDF0-9BB1-45E9-8617-A67FBF5B3E7E}" srcId="{CD90EE3C-DEE3-4D60-958C-16ABC70B23E3}" destId="{C22C80DB-DC4A-48E0-8D2A-692934B78B8B}" srcOrd="2" destOrd="0" parTransId="{9F4634A1-3B79-4B80-8139-FFA033C554F0}" sibTransId="{F310E48E-BAEC-4345-A40D-21C91C0AFD59}"/>
    <dgm:cxn modelId="{BC37D4B5-DB6F-4F44-B1AE-C1F23FF8047E}" type="presParOf" srcId="{DD235888-E946-4F0D-8CC8-5F36A97E4026}" destId="{8C0376FB-6B73-46E8-AE89-33B52BEA33B8}" srcOrd="0" destOrd="0" presId="urn:microsoft.com/office/officeart/2005/8/layout/default"/>
    <dgm:cxn modelId="{9CB3B545-CE39-4ABF-847A-BA9DD3CAB088}" type="presParOf" srcId="{DD235888-E946-4F0D-8CC8-5F36A97E4026}" destId="{291AA74A-1E46-41FC-A65B-E87505982FD5}" srcOrd="1" destOrd="0" presId="urn:microsoft.com/office/officeart/2005/8/layout/default"/>
    <dgm:cxn modelId="{BA8982CD-F94E-4E7B-B504-69B45D7830C2}" type="presParOf" srcId="{DD235888-E946-4F0D-8CC8-5F36A97E4026}" destId="{D304F2E8-94EA-4660-9734-07AF00AEF5FD}" srcOrd="2" destOrd="0" presId="urn:microsoft.com/office/officeart/2005/8/layout/default"/>
    <dgm:cxn modelId="{803F3AB5-5A18-4725-887E-87CC6BDBDC75}" type="presParOf" srcId="{DD235888-E946-4F0D-8CC8-5F36A97E4026}" destId="{57DEC8C4-CE54-4DC9-B0E9-23D730E9CDB8}" srcOrd="3" destOrd="0" presId="urn:microsoft.com/office/officeart/2005/8/layout/default"/>
    <dgm:cxn modelId="{DB14EBAA-8E54-4A36-A154-7DF8C8CBB0B8}" type="presParOf" srcId="{DD235888-E946-4F0D-8CC8-5F36A97E4026}" destId="{3E8EF186-7864-422F-9129-D7080AEAA183}" srcOrd="4"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0376FB-6B73-46E8-AE89-33B52BEA33B8}">
      <dsp:nvSpPr>
        <dsp:cNvPr id="0" name=""/>
        <dsp:cNvSpPr/>
      </dsp:nvSpPr>
      <dsp:spPr>
        <a:xfrm>
          <a:off x="1801995" y="0"/>
          <a:ext cx="1861033" cy="6465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Head of Business Assurance &amp; Performance</a:t>
          </a:r>
        </a:p>
      </dsp:txBody>
      <dsp:txXfrm>
        <a:off x="1801995" y="0"/>
        <a:ext cx="1861033" cy="646543"/>
      </dsp:txXfrm>
    </dsp:sp>
    <dsp:sp modelId="{D304F2E8-94EA-4660-9734-07AF00AEF5FD}">
      <dsp:nvSpPr>
        <dsp:cNvPr id="0" name=""/>
        <dsp:cNvSpPr/>
      </dsp:nvSpPr>
      <dsp:spPr>
        <a:xfrm flipH="1">
          <a:off x="1816410" y="1826992"/>
          <a:ext cx="1865308" cy="6769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Senior Administrator</a:t>
          </a:r>
        </a:p>
      </dsp:txBody>
      <dsp:txXfrm>
        <a:off x="1816410" y="1826992"/>
        <a:ext cx="1865308" cy="676930"/>
      </dsp:txXfrm>
    </dsp:sp>
    <dsp:sp modelId="{3E8EF186-7864-422F-9129-D7080AEAA183}">
      <dsp:nvSpPr>
        <dsp:cNvPr id="0" name=""/>
        <dsp:cNvSpPr/>
      </dsp:nvSpPr>
      <dsp:spPr>
        <a:xfrm>
          <a:off x="1810682" y="873806"/>
          <a:ext cx="1849029" cy="6850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Contracts and Assurance Manager</a:t>
          </a:r>
        </a:p>
      </dsp:txBody>
      <dsp:txXfrm>
        <a:off x="1810682" y="873806"/>
        <a:ext cx="1849029" cy="68508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2222</Words>
  <Characters>12666</Characters>
  <Application>Microsoft Office Word</Application>
  <DocSecurity>4</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Katie Dawson</cp:lastModifiedBy>
  <cp:revision>2</cp:revision>
  <dcterms:created xsi:type="dcterms:W3CDTF">2025-07-04T16:00:00Z</dcterms:created>
  <dcterms:modified xsi:type="dcterms:W3CDTF">2025-07-04T16:00:00Z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af5e00f7-aa39-485d-8c57-ebe5e2f93c04_Enabled">
    <vt:lpwstr>true</vt:lpwstr>
  </property>
  <property fmtid="{D5CDD505-2E9C-101B-9397-08002B2CF9AE}" pid="9" name="MSIP_Label_af5e00f7-aa39-485d-8c57-ebe5e2f93c04_SetDate">
    <vt:lpwstr>2022-05-16T11:40:29Z</vt:lpwstr>
  </property>
  <property fmtid="{D5CDD505-2E9C-101B-9397-08002B2CF9AE}" pid="10" name="MSIP_Label_af5e00f7-aa39-485d-8c57-ebe5e2f93c04_Method">
    <vt:lpwstr>Privileged</vt:lpwstr>
  </property>
  <property fmtid="{D5CDD505-2E9C-101B-9397-08002B2CF9AE}" pid="11" name="MSIP_Label_af5e00f7-aa39-485d-8c57-ebe5e2f93c04_Name">
    <vt:lpwstr>Sodexo - Confidential</vt:lpwstr>
  </property>
  <property fmtid="{D5CDD505-2E9C-101B-9397-08002B2CF9AE}" pid="12" name="MSIP_Label_af5e00f7-aa39-485d-8c57-ebe5e2f93c04_SiteId">
    <vt:lpwstr>abf819d6-d924-423a-a845-efba8c945c04</vt:lpwstr>
  </property>
  <property fmtid="{D5CDD505-2E9C-101B-9397-08002B2CF9AE}" pid="13" name="MSIP_Label_af5e00f7-aa39-485d-8c57-ebe5e2f93c04_ActionId">
    <vt:lpwstr>dd2f25d6-e811-4595-9669-77358ee19023</vt:lpwstr>
  </property>
  <property fmtid="{D5CDD505-2E9C-101B-9397-08002B2CF9AE}" pid="14" name="MSIP_Label_af5e00f7-aa39-485d-8c57-ebe5e2f93c04_ContentBits">
    <vt:lpwstr>0</vt:lpwstr>
  </property>
</Properties>
</file>