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E61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07BECA2" wp14:editId="7D31AD6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A91B2" w14:textId="4397261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00A0">
                              <w:rPr>
                                <w:color w:val="FFFFFF"/>
                                <w:sz w:val="44"/>
                                <w:szCs w:val="44"/>
                                <w:lang w:val="en-AU"/>
                              </w:rPr>
                              <w:t>Variations &amp; Projects</w:t>
                            </w:r>
                            <w:r w:rsidR="00DB3FA6">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7BECA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2A91B2" w14:textId="4397261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00A0">
                        <w:rPr>
                          <w:color w:val="FFFFFF"/>
                          <w:sz w:val="44"/>
                          <w:szCs w:val="44"/>
                          <w:lang w:val="en-AU"/>
                        </w:rPr>
                        <w:t>Variations &amp; Projects</w:t>
                      </w:r>
                      <w:r w:rsidR="00DB3FA6">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5D67593" wp14:editId="3F697FE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F808927" w14:textId="77777777" w:rsidR="00366A73" w:rsidRPr="00366A73" w:rsidRDefault="00366A73" w:rsidP="00366A73"/>
    <w:p w14:paraId="111A73DD" w14:textId="77777777" w:rsidR="00366A73" w:rsidRPr="00366A73" w:rsidRDefault="00366A73" w:rsidP="00366A73"/>
    <w:p w14:paraId="3EDB9ED5" w14:textId="77777777" w:rsidR="00366A73" w:rsidRPr="00366A73" w:rsidRDefault="00366A73" w:rsidP="00366A73"/>
    <w:p w14:paraId="0A69180A" w14:textId="77777777" w:rsidR="00366A73" w:rsidRPr="00366A73" w:rsidRDefault="00366A73" w:rsidP="00366A73"/>
    <w:p w14:paraId="7CCBF61F" w14:textId="77777777" w:rsidR="00366A73" w:rsidRDefault="00366A73" w:rsidP="00366A73"/>
    <w:p w14:paraId="37ADEF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C8999B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6D69FD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2BFA0D4" w14:textId="2D9E01A8" w:rsidR="00366A73" w:rsidRPr="00876EDD" w:rsidRDefault="00DE6AC1" w:rsidP="00161F93">
            <w:pPr>
              <w:spacing w:before="20" w:after="20"/>
              <w:jc w:val="left"/>
              <w:rPr>
                <w:rFonts w:cs="Arial"/>
                <w:color w:val="000000"/>
                <w:szCs w:val="20"/>
              </w:rPr>
            </w:pPr>
            <w:r>
              <w:rPr>
                <w:rFonts w:cs="Arial"/>
                <w:color w:val="000000"/>
                <w:szCs w:val="20"/>
              </w:rPr>
              <w:t>Hard FM</w:t>
            </w:r>
            <w:r w:rsidR="00BE6ECC" w:rsidRPr="00BE6ECC">
              <w:rPr>
                <w:rFonts w:cs="Arial"/>
                <w:color w:val="000000"/>
                <w:szCs w:val="20"/>
              </w:rPr>
              <w:t xml:space="preserve"> Services</w:t>
            </w:r>
          </w:p>
        </w:tc>
      </w:tr>
      <w:tr w:rsidR="00366A73" w:rsidRPr="00315425" w14:paraId="709EA94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D9E96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3DAEC0E" w14:textId="6130F118" w:rsidR="00366A73" w:rsidRPr="004B2221" w:rsidRDefault="00BE04E2" w:rsidP="00161F93">
            <w:pPr>
              <w:pStyle w:val="Heading2"/>
              <w:rPr>
                <w:b w:val="0"/>
                <w:lang w:val="en-CA"/>
              </w:rPr>
            </w:pPr>
            <w:r>
              <w:rPr>
                <w:b w:val="0"/>
                <w:sz w:val="18"/>
                <w:lang w:val="en-CA"/>
              </w:rPr>
              <w:t>Variation</w:t>
            </w:r>
            <w:r w:rsidR="00621F52">
              <w:rPr>
                <w:b w:val="0"/>
                <w:sz w:val="18"/>
                <w:lang w:val="en-CA"/>
              </w:rPr>
              <w:t>s &amp;</w:t>
            </w:r>
            <w:r>
              <w:rPr>
                <w:b w:val="0"/>
                <w:sz w:val="18"/>
                <w:lang w:val="en-CA"/>
              </w:rPr>
              <w:t xml:space="preserve"> Project</w:t>
            </w:r>
            <w:r w:rsidR="00621F52">
              <w:rPr>
                <w:b w:val="0"/>
                <w:sz w:val="18"/>
                <w:lang w:val="en-CA"/>
              </w:rPr>
              <w:t>s</w:t>
            </w:r>
            <w:r w:rsidR="00E820C8">
              <w:rPr>
                <w:b w:val="0"/>
                <w:sz w:val="18"/>
                <w:lang w:val="en-CA"/>
              </w:rPr>
              <w:t xml:space="preserve"> Manager</w:t>
            </w:r>
          </w:p>
        </w:tc>
      </w:tr>
      <w:tr w:rsidR="004B2221" w:rsidRPr="00315425" w14:paraId="53EE2EE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D1F57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EC2D83B" w14:textId="0D2D869C" w:rsidR="004B2221" w:rsidRPr="004B2221" w:rsidRDefault="004B2221" w:rsidP="004B2221">
            <w:pPr>
              <w:spacing w:before="20" w:after="20"/>
              <w:jc w:val="left"/>
              <w:rPr>
                <w:rFonts w:cs="Arial"/>
                <w:color w:val="000000"/>
                <w:szCs w:val="20"/>
              </w:rPr>
            </w:pPr>
          </w:p>
        </w:tc>
      </w:tr>
      <w:tr w:rsidR="00366A73" w:rsidRPr="00315425" w14:paraId="4E20392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389CA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826A8A3" w14:textId="4CB7EB9C" w:rsidR="00366A73" w:rsidRPr="00876EDD" w:rsidRDefault="00621F52" w:rsidP="00161F93">
            <w:pPr>
              <w:spacing w:before="20" w:after="20"/>
              <w:jc w:val="left"/>
              <w:rPr>
                <w:rFonts w:cs="Arial"/>
                <w:color w:val="000000"/>
                <w:szCs w:val="20"/>
              </w:rPr>
            </w:pPr>
            <w:r>
              <w:rPr>
                <w:rFonts w:cs="Arial"/>
                <w:color w:val="000000"/>
                <w:szCs w:val="20"/>
              </w:rPr>
              <w:t>Jason Anderson</w:t>
            </w:r>
          </w:p>
        </w:tc>
      </w:tr>
      <w:tr w:rsidR="00366A73" w:rsidRPr="00315425" w14:paraId="28103BA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3E438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0B12CCC" w14:textId="77777777" w:rsidR="00366A73" w:rsidRDefault="00366A73" w:rsidP="00161F93">
            <w:pPr>
              <w:spacing w:before="20" w:after="20"/>
              <w:jc w:val="left"/>
              <w:rPr>
                <w:rFonts w:cs="Arial"/>
                <w:color w:val="000000"/>
                <w:szCs w:val="20"/>
              </w:rPr>
            </w:pPr>
          </w:p>
        </w:tc>
      </w:tr>
      <w:tr w:rsidR="00366A73" w:rsidRPr="00315425" w14:paraId="658A2FA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CDD36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3327CA" w14:textId="411819E7" w:rsidR="00366A73" w:rsidRPr="00876EDD" w:rsidRDefault="00621F52" w:rsidP="00366A73">
            <w:pPr>
              <w:spacing w:before="20" w:after="20"/>
              <w:jc w:val="left"/>
              <w:rPr>
                <w:rFonts w:cs="Arial"/>
                <w:color w:val="000000"/>
                <w:szCs w:val="20"/>
              </w:rPr>
            </w:pPr>
            <w:r>
              <w:rPr>
                <w:rFonts w:cs="Arial"/>
                <w:color w:val="000000"/>
                <w:szCs w:val="20"/>
              </w:rPr>
              <w:t>Samuel Mellor</w:t>
            </w:r>
            <w:r w:rsidR="00BE04E2">
              <w:rPr>
                <w:rFonts w:cs="Arial"/>
                <w:color w:val="000000"/>
                <w:szCs w:val="20"/>
              </w:rPr>
              <w:t xml:space="preserve"> – </w:t>
            </w:r>
            <w:r w:rsidR="006C77B7">
              <w:rPr>
                <w:rFonts w:cs="Arial"/>
                <w:color w:val="000000"/>
                <w:szCs w:val="20"/>
              </w:rPr>
              <w:t xml:space="preserve">Deputy </w:t>
            </w:r>
            <w:r w:rsidR="00BE04E2">
              <w:rPr>
                <w:rFonts w:cs="Arial"/>
                <w:color w:val="000000"/>
                <w:szCs w:val="20"/>
              </w:rPr>
              <w:t>Head of Estates</w:t>
            </w:r>
          </w:p>
        </w:tc>
      </w:tr>
      <w:tr w:rsidR="00366A73" w:rsidRPr="00315425" w14:paraId="63A9B6E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1533C3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13A4659" w14:textId="2565A3BF" w:rsidR="00366A73" w:rsidRDefault="00621F52" w:rsidP="00366A73">
            <w:pPr>
              <w:spacing w:before="20" w:after="20"/>
              <w:jc w:val="left"/>
              <w:rPr>
                <w:rFonts w:cs="Arial"/>
                <w:color w:val="000000"/>
                <w:szCs w:val="20"/>
              </w:rPr>
            </w:pPr>
            <w:r>
              <w:rPr>
                <w:rFonts w:cs="Arial"/>
                <w:color w:val="000000"/>
                <w:szCs w:val="20"/>
              </w:rPr>
              <w:t>Head of Estates</w:t>
            </w:r>
          </w:p>
        </w:tc>
      </w:tr>
      <w:tr w:rsidR="00366A73" w:rsidRPr="00315425" w14:paraId="3F55326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0DA709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71E454B" w14:textId="75F80E2F" w:rsidR="00366A73" w:rsidRDefault="00BE04E2" w:rsidP="00161F93">
            <w:pPr>
              <w:spacing w:before="20" w:after="20"/>
              <w:jc w:val="left"/>
              <w:rPr>
                <w:rFonts w:cs="Arial"/>
                <w:color w:val="000000"/>
                <w:szCs w:val="20"/>
              </w:rPr>
            </w:pPr>
            <w:r>
              <w:rPr>
                <w:rFonts w:cs="Arial"/>
                <w:color w:val="000000"/>
                <w:szCs w:val="20"/>
              </w:rPr>
              <w:t>Royal Stoke University Hospital (Newcastle Under Lyme)</w:t>
            </w:r>
            <w:r w:rsidR="00621F52">
              <w:rPr>
                <w:rFonts w:cs="Arial"/>
                <w:color w:val="000000"/>
                <w:szCs w:val="20"/>
              </w:rPr>
              <w:t xml:space="preserve"> and Haywood Hospital </w:t>
            </w:r>
          </w:p>
        </w:tc>
      </w:tr>
      <w:tr w:rsidR="00366A73" w:rsidRPr="00315425" w14:paraId="5B82B9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27C5F48" w14:textId="77777777" w:rsidR="00366A73" w:rsidRDefault="00366A73" w:rsidP="00161F93">
            <w:pPr>
              <w:jc w:val="left"/>
              <w:rPr>
                <w:rFonts w:cs="Arial"/>
                <w:sz w:val="10"/>
                <w:szCs w:val="20"/>
              </w:rPr>
            </w:pPr>
          </w:p>
          <w:p w14:paraId="38602546" w14:textId="77777777" w:rsidR="00366A73" w:rsidRPr="00315425" w:rsidRDefault="00366A73" w:rsidP="00161F93">
            <w:pPr>
              <w:jc w:val="left"/>
              <w:rPr>
                <w:rFonts w:cs="Arial"/>
                <w:sz w:val="10"/>
                <w:szCs w:val="20"/>
              </w:rPr>
            </w:pPr>
          </w:p>
        </w:tc>
      </w:tr>
      <w:tr w:rsidR="00366A73" w:rsidRPr="00315425" w14:paraId="5AD701E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41A0F5C" w14:textId="59E4D7C1" w:rsidR="00A5332C" w:rsidRDefault="00366A73" w:rsidP="00A5332C">
            <w:pPr>
              <w:pStyle w:val="Default"/>
            </w:pPr>
            <w:r w:rsidRPr="002A2FAD">
              <w:rPr>
                <w:color w:val="FF0000"/>
              </w:rPr>
              <w:t xml:space="preserve">1.  </w:t>
            </w:r>
            <w:r>
              <w:t xml:space="preserve">Purpose of the Job </w:t>
            </w:r>
            <w:r w:rsidRPr="000943F3">
              <w:rPr>
                <w:sz w:val="16"/>
              </w:rPr>
              <w:t>–</w:t>
            </w:r>
            <w:r>
              <w:rPr>
                <w:sz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0245"/>
            </w:tblGrid>
            <w:tr w:rsidR="00A5332C" w14:paraId="60E9D61C" w14:textId="77777777">
              <w:trPr>
                <w:trHeight w:val="3428"/>
              </w:trPr>
              <w:tc>
                <w:tcPr>
                  <w:tcW w:w="10245" w:type="dxa"/>
                </w:tcPr>
                <w:p w14:paraId="76CBFE0E" w14:textId="26CC6F1F" w:rsidR="00A5332C" w:rsidRDefault="00A5332C" w:rsidP="00621F52">
                  <w:pPr>
                    <w:pStyle w:val="Default"/>
                    <w:framePr w:hSpace="180" w:wrap="around" w:vAnchor="text" w:hAnchor="margin" w:xAlign="center" w:y="192"/>
                    <w:rPr>
                      <w:sz w:val="20"/>
                      <w:szCs w:val="20"/>
                    </w:rPr>
                  </w:pPr>
                  <w:r>
                    <w:t xml:space="preserve"> </w:t>
                  </w:r>
                  <w:r>
                    <w:rPr>
                      <w:sz w:val="20"/>
                      <w:szCs w:val="20"/>
                    </w:rPr>
                    <w:t xml:space="preserve">The </w:t>
                  </w:r>
                  <w:r w:rsidR="00E22C76">
                    <w:rPr>
                      <w:sz w:val="20"/>
                      <w:szCs w:val="20"/>
                    </w:rPr>
                    <w:t xml:space="preserve">Variations &amp; </w:t>
                  </w:r>
                  <w:r>
                    <w:rPr>
                      <w:sz w:val="20"/>
                      <w:szCs w:val="20"/>
                    </w:rPr>
                    <w:t xml:space="preserve">Projects Manager (Healthcare) is responsible for the effective and efficient management, planning, works control, performance measurement and management and administering of the all works which fall into the Projects environment. </w:t>
                  </w:r>
                </w:p>
                <w:p w14:paraId="0ADE63CA" w14:textId="688B07C2" w:rsidR="00A5332C" w:rsidRDefault="00A5332C" w:rsidP="00621F52">
                  <w:pPr>
                    <w:pStyle w:val="Default"/>
                    <w:framePr w:hSpace="180" w:wrap="around" w:vAnchor="text" w:hAnchor="margin" w:xAlign="center" w:y="192"/>
                    <w:rPr>
                      <w:sz w:val="20"/>
                      <w:szCs w:val="20"/>
                    </w:rPr>
                  </w:pPr>
                  <w:r>
                    <w:rPr>
                      <w:sz w:val="20"/>
                      <w:szCs w:val="20"/>
                    </w:rPr>
                    <w:t xml:space="preserve">This is an exciting and dynamic role within the Estates team with a focus on managing the process of rechargeable value works, building a work stream to achieve organic growth and maximum potential revenues and taking the lead role on how Sodexo evaluates Healthcare Estates project works and the impact to the Estates. </w:t>
                  </w:r>
                </w:p>
                <w:p w14:paraId="10A6E3E0" w14:textId="77777777" w:rsidR="00A5332C" w:rsidRDefault="00A5332C" w:rsidP="00621F52">
                  <w:pPr>
                    <w:pStyle w:val="Default"/>
                    <w:framePr w:hSpace="180" w:wrap="around" w:vAnchor="text" w:hAnchor="margin" w:xAlign="center" w:y="192"/>
                    <w:rPr>
                      <w:sz w:val="20"/>
                      <w:szCs w:val="20"/>
                    </w:rPr>
                  </w:pPr>
                  <w:r>
                    <w:rPr>
                      <w:sz w:val="20"/>
                      <w:szCs w:val="20"/>
                    </w:rPr>
                    <w:t xml:space="preserve">The job holder is expected to meet Sodexo’s statutory and contractual obligations for all Projects tasks related to the specified framework and timelines associated within the Projects environment. </w:t>
                  </w:r>
                </w:p>
                <w:p w14:paraId="6D80B149" w14:textId="77777777" w:rsidR="00A5332C" w:rsidRDefault="00A5332C" w:rsidP="00621F52">
                  <w:pPr>
                    <w:pStyle w:val="Default"/>
                    <w:framePr w:hSpace="180" w:wrap="around" w:vAnchor="text" w:hAnchor="margin" w:xAlign="center" w:y="192"/>
                    <w:rPr>
                      <w:sz w:val="20"/>
                      <w:szCs w:val="20"/>
                    </w:rPr>
                  </w:pPr>
                  <w:r>
                    <w:rPr>
                      <w:sz w:val="20"/>
                      <w:szCs w:val="20"/>
                    </w:rPr>
                    <w:t xml:space="preserve">The job holder must ensure the provisions of Legal &amp; Statutory Compliance (CDM, HTM’s and HBN’s, Care Quality Commission, British Standards and other UK Healthcare associated standards &amp; codes), Health &amp; Safety requirements in a cost effective, timely, &amp; quality driven service method to our client is always provided, along with any organization with which Sodexo have contractual agreements with. </w:t>
                  </w:r>
                </w:p>
                <w:p w14:paraId="5A43ECDD" w14:textId="77777777" w:rsidR="00E22C76" w:rsidRDefault="00A5332C" w:rsidP="00621F52">
                  <w:pPr>
                    <w:pStyle w:val="Default"/>
                    <w:framePr w:hSpace="180" w:wrap="around" w:vAnchor="text" w:hAnchor="margin" w:xAlign="center" w:y="192"/>
                    <w:rPr>
                      <w:sz w:val="20"/>
                      <w:szCs w:val="20"/>
                    </w:rPr>
                  </w:pPr>
                  <w:r>
                    <w:rPr>
                      <w:sz w:val="20"/>
                      <w:szCs w:val="20"/>
                    </w:rPr>
                    <w:t>Key performance indicators for the Project Manager within the Projects environment must be closely monitored and reported to the</w:t>
                  </w:r>
                  <w:r w:rsidR="00E22C76">
                    <w:rPr>
                      <w:sz w:val="20"/>
                      <w:szCs w:val="20"/>
                    </w:rPr>
                    <w:t xml:space="preserve"> Deputy</w:t>
                  </w:r>
                  <w:r>
                    <w:rPr>
                      <w:sz w:val="20"/>
                      <w:szCs w:val="20"/>
                    </w:rPr>
                    <w:t xml:space="preserve"> Head of Estates on a minimum </w:t>
                  </w:r>
                  <w:r w:rsidR="00E22C76">
                    <w:rPr>
                      <w:sz w:val="20"/>
                      <w:szCs w:val="20"/>
                    </w:rPr>
                    <w:t>Monthly</w:t>
                  </w:r>
                  <w:r>
                    <w:rPr>
                      <w:sz w:val="20"/>
                      <w:szCs w:val="20"/>
                    </w:rPr>
                    <w:t xml:space="preserve"> basis or as requested. </w:t>
                  </w:r>
                </w:p>
                <w:p w14:paraId="7D1E1E19" w14:textId="27B1846A" w:rsidR="00A5332C" w:rsidRDefault="00A5332C" w:rsidP="00621F52">
                  <w:pPr>
                    <w:pStyle w:val="Default"/>
                    <w:framePr w:hSpace="180" w:wrap="around" w:vAnchor="text" w:hAnchor="margin" w:xAlign="center" w:y="192"/>
                    <w:rPr>
                      <w:sz w:val="20"/>
                      <w:szCs w:val="20"/>
                    </w:rPr>
                  </w:pPr>
                  <w:r>
                    <w:rPr>
                      <w:sz w:val="20"/>
                      <w:szCs w:val="20"/>
                    </w:rPr>
                    <w:t xml:space="preserve">There shall be an inherent need to work with and in conjunction with the Sodexo Commercial, Finance &amp; </w:t>
                  </w:r>
                  <w:r w:rsidR="00352529">
                    <w:rPr>
                      <w:sz w:val="20"/>
                      <w:szCs w:val="20"/>
                    </w:rPr>
                    <w:t>Soft Service</w:t>
                  </w:r>
                  <w:r>
                    <w:rPr>
                      <w:sz w:val="20"/>
                      <w:szCs w:val="20"/>
                    </w:rPr>
                    <w:t xml:space="preserve"> </w:t>
                  </w:r>
                  <w:r w:rsidR="00352529">
                    <w:rPr>
                      <w:sz w:val="20"/>
                      <w:szCs w:val="20"/>
                    </w:rPr>
                    <w:t>teams</w:t>
                  </w:r>
                  <w:r>
                    <w:rPr>
                      <w:sz w:val="20"/>
                      <w:szCs w:val="20"/>
                    </w:rPr>
                    <w:t xml:space="preserve"> to ensure an efficient,</w:t>
                  </w:r>
                  <w:r w:rsidR="00F25D75">
                    <w:rPr>
                      <w:sz w:val="20"/>
                      <w:szCs w:val="20"/>
                    </w:rPr>
                    <w:t xml:space="preserve"> high</w:t>
                  </w:r>
                  <w:r>
                    <w:rPr>
                      <w:sz w:val="20"/>
                      <w:szCs w:val="20"/>
                    </w:rPr>
                    <w:t xml:space="preserve"> quality and professional Project work</w:t>
                  </w:r>
                  <w:r w:rsidR="00F25D75">
                    <w:rPr>
                      <w:sz w:val="20"/>
                      <w:szCs w:val="20"/>
                    </w:rPr>
                    <w:t>s</w:t>
                  </w:r>
                  <w:r>
                    <w:rPr>
                      <w:sz w:val="20"/>
                      <w:szCs w:val="20"/>
                    </w:rPr>
                    <w:t xml:space="preserve"> execution </w:t>
                  </w:r>
                </w:p>
                <w:p w14:paraId="0775AA88" w14:textId="77777777" w:rsidR="00A5332C" w:rsidRDefault="00A5332C" w:rsidP="00621F52">
                  <w:pPr>
                    <w:pStyle w:val="Default"/>
                    <w:framePr w:hSpace="180" w:wrap="around" w:vAnchor="text" w:hAnchor="margin" w:xAlign="center" w:y="192"/>
                    <w:rPr>
                      <w:sz w:val="20"/>
                      <w:szCs w:val="20"/>
                    </w:rPr>
                  </w:pPr>
                  <w:r>
                    <w:rPr>
                      <w:sz w:val="20"/>
                      <w:szCs w:val="20"/>
                    </w:rPr>
                    <w:t xml:space="preserve">The job holder will monitor Sodexo objectives by supporting and delivering against Estates policies and compliance with legislative and departmental requirements. This will include playing a key role in identifying opportunities for innovation and modernisation, to meet operational performance targets and Sodexo objectives. </w:t>
                  </w:r>
                </w:p>
                <w:p w14:paraId="481BEA37" w14:textId="77777777" w:rsidR="00A5332C" w:rsidRDefault="00A5332C" w:rsidP="00621F52">
                  <w:pPr>
                    <w:pStyle w:val="Default"/>
                    <w:framePr w:hSpace="180" w:wrap="around" w:vAnchor="text" w:hAnchor="margin" w:xAlign="center" w:y="192"/>
                    <w:rPr>
                      <w:sz w:val="20"/>
                      <w:szCs w:val="20"/>
                    </w:rPr>
                  </w:pPr>
                  <w:r>
                    <w:rPr>
                      <w:sz w:val="20"/>
                      <w:szCs w:val="20"/>
                    </w:rPr>
                    <w:t xml:space="preserve">Provide detailed professional, engineering &amp; technical guidance to staff and contractors on issues that are complex and non-routine. </w:t>
                  </w:r>
                </w:p>
                <w:p w14:paraId="71F50C68" w14:textId="77777777" w:rsidR="00A5332C" w:rsidRDefault="00A5332C" w:rsidP="00621F52">
                  <w:pPr>
                    <w:pStyle w:val="Default"/>
                    <w:framePr w:hSpace="180" w:wrap="around" w:vAnchor="text" w:hAnchor="margin" w:xAlign="center" w:y="192"/>
                    <w:rPr>
                      <w:sz w:val="20"/>
                      <w:szCs w:val="20"/>
                    </w:rPr>
                  </w:pPr>
                  <w:r>
                    <w:rPr>
                      <w:sz w:val="20"/>
                      <w:szCs w:val="20"/>
                    </w:rPr>
                    <w:t xml:space="preserve">Key to the role is the application of Sodexo HR policies and procedures and the management of the workforce under remit. </w:t>
                  </w:r>
                </w:p>
              </w:tc>
            </w:tr>
          </w:tbl>
          <w:p w14:paraId="410AEA9B" w14:textId="58FF6C26" w:rsidR="00366A73" w:rsidRPr="002E304F" w:rsidRDefault="00366A73" w:rsidP="00161F93">
            <w:pPr>
              <w:pStyle w:val="titregris"/>
              <w:framePr w:hSpace="0" w:wrap="auto" w:vAnchor="margin" w:hAnchor="text" w:xAlign="left" w:yAlign="inline"/>
              <w:ind w:left="0" w:firstLine="0"/>
              <w:rPr>
                <w:b w:val="0"/>
              </w:rPr>
            </w:pPr>
          </w:p>
        </w:tc>
      </w:tr>
      <w:tr w:rsidR="00366A73" w:rsidRPr="00315425" w14:paraId="253B64E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AE6841" w14:textId="77777777" w:rsidR="00366A73" w:rsidRDefault="00366A73" w:rsidP="00161F93">
            <w:pPr>
              <w:jc w:val="left"/>
              <w:rPr>
                <w:rFonts w:cs="Arial"/>
                <w:sz w:val="10"/>
                <w:szCs w:val="20"/>
              </w:rPr>
            </w:pPr>
          </w:p>
          <w:p w14:paraId="2BE25749" w14:textId="77777777" w:rsidR="00366A73" w:rsidRPr="00315425" w:rsidRDefault="00366A73" w:rsidP="00161F93">
            <w:pPr>
              <w:jc w:val="left"/>
              <w:rPr>
                <w:rFonts w:cs="Arial"/>
                <w:sz w:val="10"/>
                <w:szCs w:val="20"/>
              </w:rPr>
            </w:pPr>
          </w:p>
        </w:tc>
      </w:tr>
      <w:tr w:rsidR="00366A73" w:rsidRPr="00315425" w14:paraId="414992C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29B0CD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4124237" w14:textId="77777777" w:rsidTr="00161F93">
        <w:trPr>
          <w:trHeight w:val="232"/>
        </w:trPr>
        <w:tc>
          <w:tcPr>
            <w:tcW w:w="1008" w:type="dxa"/>
            <w:vMerge w:val="restart"/>
            <w:tcBorders>
              <w:top w:val="dotted" w:sz="2" w:space="0" w:color="auto"/>
              <w:left w:val="single" w:sz="2" w:space="0" w:color="auto"/>
              <w:right w:val="nil"/>
            </w:tcBorders>
            <w:vAlign w:val="center"/>
          </w:tcPr>
          <w:p w14:paraId="3E90354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D57E67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03133A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A967D8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A59ABC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20036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02F67E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5B1C87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0640B8B"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91BA192" w14:textId="77777777" w:rsidR="00366A73" w:rsidRPr="007C0E94" w:rsidRDefault="00366A73" w:rsidP="00161F93">
            <w:pPr>
              <w:rPr>
                <w:sz w:val="18"/>
                <w:szCs w:val="18"/>
              </w:rPr>
            </w:pPr>
            <w:r w:rsidRPr="007C0E94">
              <w:rPr>
                <w:sz w:val="18"/>
                <w:szCs w:val="18"/>
              </w:rPr>
              <w:t>tbc</w:t>
            </w:r>
          </w:p>
        </w:tc>
      </w:tr>
      <w:tr w:rsidR="00366A73" w:rsidRPr="007C0E94" w14:paraId="5E59DC43" w14:textId="77777777" w:rsidTr="00161F93">
        <w:trPr>
          <w:trHeight w:val="263"/>
        </w:trPr>
        <w:tc>
          <w:tcPr>
            <w:tcW w:w="1008" w:type="dxa"/>
            <w:vMerge/>
            <w:tcBorders>
              <w:left w:val="single" w:sz="2" w:space="0" w:color="auto"/>
              <w:right w:val="nil"/>
            </w:tcBorders>
            <w:vAlign w:val="center"/>
          </w:tcPr>
          <w:p w14:paraId="7B83328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379E7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C6570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F066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49A4728" w14:textId="77777777" w:rsidR="00366A73" w:rsidRPr="007C0E94" w:rsidRDefault="00366A73" w:rsidP="00161F93">
            <w:pPr>
              <w:rPr>
                <w:sz w:val="18"/>
                <w:szCs w:val="18"/>
              </w:rPr>
            </w:pPr>
          </w:p>
        </w:tc>
        <w:tc>
          <w:tcPr>
            <w:tcW w:w="900" w:type="dxa"/>
            <w:vMerge/>
            <w:tcBorders>
              <w:left w:val="nil"/>
              <w:right w:val="nil"/>
            </w:tcBorders>
            <w:vAlign w:val="center"/>
          </w:tcPr>
          <w:p w14:paraId="6DA89CA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88D90D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9F9BB4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C93724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F9410EB" w14:textId="77777777" w:rsidR="00366A73" w:rsidRPr="007C0E94" w:rsidRDefault="00366A73" w:rsidP="00161F93">
            <w:pPr>
              <w:rPr>
                <w:sz w:val="18"/>
                <w:szCs w:val="18"/>
              </w:rPr>
            </w:pPr>
          </w:p>
        </w:tc>
      </w:tr>
      <w:tr w:rsidR="00366A73" w:rsidRPr="007C0E94" w14:paraId="01746AE1" w14:textId="77777777" w:rsidTr="00161F93">
        <w:trPr>
          <w:trHeight w:val="263"/>
        </w:trPr>
        <w:tc>
          <w:tcPr>
            <w:tcW w:w="1008" w:type="dxa"/>
            <w:vMerge/>
            <w:tcBorders>
              <w:left w:val="single" w:sz="2" w:space="0" w:color="auto"/>
              <w:right w:val="nil"/>
            </w:tcBorders>
            <w:vAlign w:val="center"/>
          </w:tcPr>
          <w:p w14:paraId="3863EED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CCDF17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3B6244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D9A5F9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6519BE9" w14:textId="77777777" w:rsidR="00366A73" w:rsidRPr="007C0E94" w:rsidRDefault="00366A73" w:rsidP="00161F93">
            <w:pPr>
              <w:rPr>
                <w:sz w:val="18"/>
                <w:szCs w:val="18"/>
              </w:rPr>
            </w:pPr>
          </w:p>
        </w:tc>
        <w:tc>
          <w:tcPr>
            <w:tcW w:w="900" w:type="dxa"/>
            <w:vMerge/>
            <w:tcBorders>
              <w:left w:val="nil"/>
              <w:right w:val="nil"/>
            </w:tcBorders>
            <w:vAlign w:val="center"/>
          </w:tcPr>
          <w:p w14:paraId="13D7304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1631C0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2383B4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245CAE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A8528A1" w14:textId="77777777" w:rsidR="00366A73" w:rsidRPr="007C0E94" w:rsidRDefault="00366A73" w:rsidP="00161F93">
            <w:pPr>
              <w:rPr>
                <w:sz w:val="18"/>
                <w:szCs w:val="18"/>
              </w:rPr>
            </w:pPr>
            <w:r w:rsidRPr="007C0E94">
              <w:rPr>
                <w:sz w:val="18"/>
                <w:szCs w:val="18"/>
              </w:rPr>
              <w:t>tbc</w:t>
            </w:r>
          </w:p>
        </w:tc>
      </w:tr>
      <w:tr w:rsidR="00366A73" w:rsidRPr="007C0E94" w14:paraId="3EABD611" w14:textId="77777777" w:rsidTr="00161F93">
        <w:trPr>
          <w:trHeight w:val="218"/>
        </w:trPr>
        <w:tc>
          <w:tcPr>
            <w:tcW w:w="1008" w:type="dxa"/>
            <w:vMerge/>
            <w:tcBorders>
              <w:left w:val="single" w:sz="2" w:space="0" w:color="auto"/>
              <w:bottom w:val="dotted" w:sz="4" w:space="0" w:color="auto"/>
              <w:right w:val="nil"/>
            </w:tcBorders>
            <w:vAlign w:val="center"/>
          </w:tcPr>
          <w:p w14:paraId="6A34EAA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B1B6D0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33633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C72FA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213C85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BF9014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AB2D49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99174F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C424EE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6DAB056" w14:textId="77777777" w:rsidR="00366A73" w:rsidRPr="007C0E94" w:rsidRDefault="00366A73" w:rsidP="00161F93">
            <w:pPr>
              <w:rPr>
                <w:sz w:val="18"/>
                <w:szCs w:val="18"/>
              </w:rPr>
            </w:pPr>
          </w:p>
        </w:tc>
      </w:tr>
      <w:tr w:rsidR="00366A73" w:rsidRPr="00FB6D69" w14:paraId="3284DF2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14029B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58CF54B" w14:textId="6875EF7C" w:rsidR="00366A73" w:rsidRDefault="006C5B56" w:rsidP="00144E5D">
            <w:pPr>
              <w:numPr>
                <w:ilvl w:val="0"/>
                <w:numId w:val="1"/>
              </w:numPr>
              <w:spacing w:before="40" w:after="40"/>
              <w:jc w:val="left"/>
              <w:rPr>
                <w:rFonts w:cs="Arial"/>
                <w:color w:val="000000" w:themeColor="text1"/>
                <w:szCs w:val="20"/>
              </w:rPr>
            </w:pPr>
            <w:r>
              <w:rPr>
                <w:rFonts w:cs="Arial"/>
                <w:color w:val="000000" w:themeColor="text1"/>
                <w:szCs w:val="20"/>
              </w:rPr>
              <w:t>Expected annual responsibility approx. £1</w:t>
            </w:r>
            <w:r w:rsidR="00DB0722">
              <w:rPr>
                <w:rFonts w:cs="Arial"/>
                <w:color w:val="000000" w:themeColor="text1"/>
                <w:szCs w:val="20"/>
              </w:rPr>
              <w:t>- £</w:t>
            </w:r>
            <w:r w:rsidR="00F25D75">
              <w:rPr>
                <w:rFonts w:cs="Arial"/>
                <w:color w:val="000000" w:themeColor="text1"/>
                <w:szCs w:val="20"/>
              </w:rPr>
              <w:t>4</w:t>
            </w:r>
            <w:r w:rsidR="00DB0722">
              <w:rPr>
                <w:rFonts w:cs="Arial"/>
                <w:color w:val="000000" w:themeColor="text1"/>
                <w:szCs w:val="20"/>
              </w:rPr>
              <w:t xml:space="preserve"> </w:t>
            </w:r>
            <w:r>
              <w:rPr>
                <w:rFonts w:cs="Arial"/>
                <w:color w:val="000000" w:themeColor="text1"/>
                <w:szCs w:val="20"/>
              </w:rPr>
              <w:t xml:space="preserve">million. </w:t>
            </w:r>
          </w:p>
          <w:p w14:paraId="76859738" w14:textId="77777777" w:rsidR="006C5B56" w:rsidRDefault="00DB0722" w:rsidP="00144E5D">
            <w:pPr>
              <w:numPr>
                <w:ilvl w:val="0"/>
                <w:numId w:val="1"/>
              </w:numPr>
              <w:spacing w:before="40" w:after="40"/>
              <w:jc w:val="left"/>
              <w:rPr>
                <w:rFonts w:cs="Arial"/>
                <w:color w:val="000000" w:themeColor="text1"/>
                <w:szCs w:val="20"/>
              </w:rPr>
            </w:pPr>
            <w:r>
              <w:rPr>
                <w:rFonts w:cs="Arial"/>
                <w:color w:val="000000" w:themeColor="text1"/>
                <w:szCs w:val="20"/>
              </w:rPr>
              <w:t>Financial targets</w:t>
            </w:r>
            <w:r w:rsidR="006C5B56">
              <w:rPr>
                <w:rFonts w:cs="Arial"/>
                <w:color w:val="000000" w:themeColor="text1"/>
                <w:szCs w:val="20"/>
              </w:rPr>
              <w:t xml:space="preserve"> </w:t>
            </w:r>
            <w:r>
              <w:rPr>
                <w:rFonts w:cs="Arial"/>
                <w:color w:val="000000" w:themeColor="text1"/>
                <w:szCs w:val="20"/>
              </w:rPr>
              <w:t>set by local management team</w:t>
            </w:r>
          </w:p>
          <w:p w14:paraId="3BAB37B5" w14:textId="42445794" w:rsidR="00BE04E2" w:rsidRPr="00144E5D" w:rsidRDefault="00BE04E2" w:rsidP="00C672CC">
            <w:pPr>
              <w:spacing w:before="40" w:after="40"/>
              <w:ind w:left="360"/>
              <w:jc w:val="left"/>
              <w:rPr>
                <w:rFonts w:cs="Arial"/>
                <w:color w:val="000000" w:themeColor="text1"/>
                <w:szCs w:val="20"/>
              </w:rPr>
            </w:pPr>
          </w:p>
        </w:tc>
      </w:tr>
    </w:tbl>
    <w:p w14:paraId="2E7221E1" w14:textId="77777777" w:rsidR="00366A73" w:rsidRDefault="00366A73" w:rsidP="00366A73">
      <w:pPr>
        <w:rPr>
          <w:sz w:val="18"/>
        </w:rPr>
      </w:pPr>
    </w:p>
    <w:p w14:paraId="05571948" w14:textId="77777777" w:rsidR="00C672CC" w:rsidRDefault="00C672CC" w:rsidP="00366A73">
      <w:pPr>
        <w:rPr>
          <w:sz w:val="18"/>
        </w:rPr>
      </w:pPr>
    </w:p>
    <w:p w14:paraId="13E2703C" w14:textId="77777777" w:rsidR="00C672CC" w:rsidRDefault="00C672CC" w:rsidP="00366A73">
      <w:pPr>
        <w:rPr>
          <w:sz w:val="18"/>
        </w:rPr>
      </w:pPr>
    </w:p>
    <w:p w14:paraId="05E07346" w14:textId="77777777" w:rsidR="00C672CC" w:rsidRDefault="00C672CC" w:rsidP="00366A73">
      <w:pPr>
        <w:rPr>
          <w:sz w:val="18"/>
        </w:rPr>
      </w:pPr>
    </w:p>
    <w:p w14:paraId="04F9B8A5" w14:textId="77777777" w:rsidR="00C672CC" w:rsidRPr="006658E1" w:rsidRDefault="00C672CC" w:rsidP="00366A73">
      <w:pPr>
        <w:rPr>
          <w:sz w:val="18"/>
        </w:rPr>
      </w:pPr>
    </w:p>
    <w:tbl>
      <w:tblPr>
        <w:tblpPr w:leftFromText="180" w:rightFromText="180" w:vertAnchor="text" w:horzAnchor="margin" w:tblpXSpec="center" w:tblpY="192"/>
        <w:tblW w:w="10458" w:type="dxa"/>
        <w:tblBorders>
          <w:top w:val="single" w:sz="2" w:space="0" w:color="auto"/>
          <w:insideH w:val="dotted" w:sz="4" w:space="0" w:color="auto"/>
          <w:insideV w:val="dotted" w:sz="4" w:space="0" w:color="auto"/>
        </w:tblBorders>
        <w:tblLayout w:type="fixed"/>
        <w:tblLook w:val="01E0" w:firstRow="1" w:lastRow="1" w:firstColumn="1" w:lastColumn="1" w:noHBand="0" w:noVBand="0"/>
      </w:tblPr>
      <w:tblGrid>
        <w:gridCol w:w="10458"/>
      </w:tblGrid>
      <w:tr w:rsidR="00366A73" w:rsidRPr="00315425" w14:paraId="3BE32894" w14:textId="77777777" w:rsidTr="00C81275">
        <w:trPr>
          <w:trHeight w:val="4390"/>
        </w:trPr>
        <w:tc>
          <w:tcPr>
            <w:tcW w:w="10458" w:type="dxa"/>
            <w:tcBorders>
              <w:top w:val="single" w:sz="2" w:space="0" w:color="auto"/>
              <w:left w:val="single" w:sz="2" w:space="0" w:color="auto"/>
              <w:bottom w:val="single" w:sz="2" w:space="0" w:color="auto"/>
              <w:right w:val="single" w:sz="2" w:space="0" w:color="auto"/>
            </w:tcBorders>
            <w:shd w:val="clear" w:color="auto" w:fill="F2F2F2"/>
            <w:vAlign w:val="center"/>
          </w:tcPr>
          <w:p w14:paraId="10EE3419" w14:textId="77777777" w:rsidR="00366A73" w:rsidRDefault="00366A73" w:rsidP="00161F93">
            <w:pPr>
              <w:pStyle w:val="titregris"/>
              <w:framePr w:hSpace="0" w:wrap="auto" w:vAnchor="margin" w:hAnchor="text" w:xAlign="left" w:yAlign="inline"/>
              <w:rPr>
                <w:b w:val="0"/>
                <w:sz w:val="12"/>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p w14:paraId="53A946AC" w14:textId="77777777" w:rsidR="00BE04E2" w:rsidRDefault="00BE04E2" w:rsidP="00161F93">
            <w:pPr>
              <w:pStyle w:val="titregris"/>
              <w:framePr w:hSpace="0" w:wrap="auto" w:vAnchor="margin" w:hAnchor="text" w:xAlign="left" w:yAlign="inline"/>
              <w:rPr>
                <w:b w:val="0"/>
              </w:rPr>
            </w:pPr>
          </w:p>
          <w:p w14:paraId="1962B634" w14:textId="625E70A6" w:rsidR="00BE04E2" w:rsidRDefault="00C81275" w:rsidP="00161F93">
            <w:pPr>
              <w:pStyle w:val="titregris"/>
              <w:framePr w:hSpace="0" w:wrap="auto" w:vAnchor="margin" w:hAnchor="text" w:xAlign="left" w:yAlign="inline"/>
              <w:rPr>
                <w:b w:val="0"/>
              </w:rPr>
            </w:pPr>
            <w:r>
              <w:rPr>
                <w:noProof/>
              </w:rPr>
              <mc:AlternateContent>
                <mc:Choice Requires="wps">
                  <w:drawing>
                    <wp:anchor distT="0" distB="0" distL="114300" distR="114300" simplePos="0" relativeHeight="251698688" behindDoc="0" locked="0" layoutInCell="1" allowOverlap="1" wp14:anchorId="458C590E" wp14:editId="15E15A11">
                      <wp:simplePos x="0" y="0"/>
                      <wp:positionH relativeFrom="column">
                        <wp:posOffset>2133600</wp:posOffset>
                      </wp:positionH>
                      <wp:positionV relativeFrom="paragraph">
                        <wp:posOffset>1252220</wp:posOffset>
                      </wp:positionV>
                      <wp:extent cx="1419225" cy="485775"/>
                      <wp:effectExtent l="0" t="0" r="0" b="0"/>
                      <wp:wrapNone/>
                      <wp:docPr id="168453670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85775"/>
                              </a:xfrm>
                              <a:prstGeom prst="rect">
                                <a:avLst/>
                              </a:prstGeom>
                              <a:solidFill>
                                <a:srgbClr val="4F81BC"/>
                              </a:solidFill>
                              <a:ln w="25400">
                                <a:solidFill>
                                  <a:srgbClr val="385D89"/>
                                </a:solidFill>
                                <a:miter lim="800000"/>
                                <a:headEnd/>
                                <a:tailEnd/>
                              </a:ln>
                            </wps:spPr>
                            <wps:txbx>
                              <w:txbxContent>
                                <w:p w14:paraId="4DAD559C" w14:textId="03BD714C" w:rsidR="00C81275" w:rsidRDefault="00C81275" w:rsidP="00C81275">
                                  <w:pPr>
                                    <w:spacing w:before="1"/>
                                    <w:jc w:val="center"/>
                                  </w:pPr>
                                  <w:r>
                                    <w:rPr>
                                      <w:color w:val="FFFFFF"/>
                                    </w:rPr>
                                    <w:t xml:space="preserve">Project &amp; Variations   </w:t>
                                  </w:r>
                                  <w:bookmarkStart w:id="0" w:name="_Hlk178947716"/>
                                  <w:bookmarkStart w:id="1" w:name="_Hlk178947717"/>
                                  <w:r>
                                    <w:rPr>
                                      <w:color w:val="FFFFFF"/>
                                    </w:rPr>
                                    <w:t>Manager</w:t>
                                  </w:r>
                                  <w:bookmarkEnd w:id="0"/>
                                  <w:bookmarkEnd w:id="1"/>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C590E" id="Text Box 24" o:spid="_x0000_s1027" type="#_x0000_t202" style="position:absolute;left:0;text-align:left;margin-left:168pt;margin-top:98.6pt;width:111.75pt;height:3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" fillcolor="#4f81bc" strokecolor="#385d89" strokeweight="2pt">
                      <v:textbox inset="0,0,0,0">
                        <w:txbxContent>
                          <w:p w14:paraId="4DAD559C" w14:textId="03BD714C" w:rsidR="00C81275" w:rsidRDefault="00C81275" w:rsidP="00C81275">
                            <w:pPr>
                              <w:spacing w:before="1"/>
                              <w:jc w:val="center"/>
                            </w:pPr>
                            <w:r>
                              <w:rPr>
                                <w:color w:val="FFFFFF"/>
                              </w:rPr>
                              <w:t>Project &amp; Variations</w:t>
                            </w:r>
                            <w:r>
                              <w:rPr>
                                <w:color w:val="FFFFFF"/>
                              </w:rPr>
                              <w:t xml:space="preserve">   </w:t>
                            </w:r>
                            <w:bookmarkStart w:id="2" w:name="_Hlk178947716"/>
                            <w:bookmarkStart w:id="3" w:name="_Hlk178947717"/>
                            <w:r>
                              <w:rPr>
                                <w:color w:val="FFFFFF"/>
                              </w:rPr>
                              <w:t>Manager</w:t>
                            </w:r>
                            <w:bookmarkEnd w:id="2"/>
                            <w:bookmarkEnd w:id="3"/>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2D44DEDB" wp14:editId="65234F51">
                      <wp:simplePos x="0" y="0"/>
                      <wp:positionH relativeFrom="column">
                        <wp:posOffset>2114550</wp:posOffset>
                      </wp:positionH>
                      <wp:positionV relativeFrom="paragraph">
                        <wp:posOffset>102235</wp:posOffset>
                      </wp:positionV>
                      <wp:extent cx="1419225" cy="666750"/>
                      <wp:effectExtent l="0" t="0" r="0" b="0"/>
                      <wp:wrapNone/>
                      <wp:docPr id="12022269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66750"/>
                              </a:xfrm>
                              <a:prstGeom prst="rect">
                                <a:avLst/>
                              </a:prstGeom>
                              <a:solidFill>
                                <a:srgbClr val="4F81BC"/>
                              </a:solidFill>
                              <a:ln w="25400">
                                <a:solidFill>
                                  <a:srgbClr val="385D89"/>
                                </a:solidFill>
                                <a:miter lim="800000"/>
                                <a:headEnd/>
                                <a:tailEnd/>
                              </a:ln>
                            </wps:spPr>
                            <wps:txbx>
                              <w:txbxContent>
                                <w:p w14:paraId="7C7041D4" w14:textId="77777777" w:rsidR="00C81275" w:rsidRDefault="00C81275" w:rsidP="00C81275">
                                  <w:pPr>
                                    <w:spacing w:before="1"/>
                                    <w:ind w:left="386"/>
                                    <w:rPr>
                                      <w:color w:val="FFFFFF"/>
                                    </w:rPr>
                                  </w:pPr>
                                  <w:r>
                                    <w:rPr>
                                      <w:color w:val="FFFFFF"/>
                                    </w:rPr>
                                    <w:t xml:space="preserve">Deputy Head </w:t>
                                  </w:r>
                                </w:p>
                                <w:p w14:paraId="0C2A3DA6" w14:textId="17F3BB97" w:rsidR="00C81275" w:rsidRDefault="00C81275" w:rsidP="00C81275">
                                  <w:pPr>
                                    <w:spacing w:before="1"/>
                                    <w:ind w:left="386"/>
                                  </w:pPr>
                                  <w:r>
                                    <w:rPr>
                                      <w:color w:val="FFFFFF"/>
                                    </w:rPr>
                                    <w:t xml:space="preserve">of Estates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4DEDB" id="Text Box 25" o:spid="_x0000_s1028" type="#_x0000_t202" style="position:absolute;left:0;text-align:left;margin-left:166.5pt;margin-top:8.05pt;width:111.75pt;height: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" fillcolor="#4f81bc" strokecolor="#385d89" strokeweight="2pt">
                      <v:textbox inset="0,0,0,0">
                        <w:txbxContent>
                          <w:p w14:paraId="7C7041D4" w14:textId="77777777" w:rsidR="00C81275" w:rsidRDefault="00C81275" w:rsidP="00C81275">
                            <w:pPr>
                              <w:spacing w:before="1"/>
                              <w:ind w:left="386"/>
                              <w:rPr>
                                <w:color w:val="FFFFFF"/>
                              </w:rPr>
                            </w:pPr>
                            <w:r>
                              <w:rPr>
                                <w:color w:val="FFFFFF"/>
                              </w:rPr>
                              <w:t>Deputy</w:t>
                            </w:r>
                            <w:r>
                              <w:rPr>
                                <w:color w:val="FFFFFF"/>
                              </w:rPr>
                              <w:t xml:space="preserve"> </w:t>
                            </w:r>
                            <w:r>
                              <w:rPr>
                                <w:color w:val="FFFFFF"/>
                              </w:rPr>
                              <w:t xml:space="preserve">Head </w:t>
                            </w:r>
                          </w:p>
                          <w:p w14:paraId="0C2A3DA6" w14:textId="17F3BB97" w:rsidR="00C81275" w:rsidRDefault="00C81275" w:rsidP="00C81275">
                            <w:pPr>
                              <w:spacing w:before="1"/>
                              <w:ind w:left="386"/>
                            </w:pPr>
                            <w:r>
                              <w:rPr>
                                <w:color w:val="FFFFFF"/>
                              </w:rPr>
                              <w:t xml:space="preserve">of Estates </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5052BE56" wp14:editId="1B569CD5">
                      <wp:simplePos x="0" y="0"/>
                      <wp:positionH relativeFrom="column">
                        <wp:posOffset>2837815</wp:posOffset>
                      </wp:positionH>
                      <wp:positionV relativeFrom="paragraph">
                        <wp:posOffset>768350</wp:posOffset>
                      </wp:positionV>
                      <wp:extent cx="1270" cy="466725"/>
                      <wp:effectExtent l="0" t="0" r="0" b="0"/>
                      <wp:wrapNone/>
                      <wp:docPr id="172311926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66725"/>
                              </a:xfrm>
                              <a:custGeom>
                                <a:avLst/>
                                <a:gdLst>
                                  <a:gd name="T0" fmla="+- 0 5827 5826"/>
                                  <a:gd name="T1" fmla="*/ T0 w 1"/>
                                  <a:gd name="T2" fmla="+- 0 2571 2196"/>
                                  <a:gd name="T3" fmla="*/ 2571 h 735"/>
                                  <a:gd name="T4" fmla="+- 0 5827 5826"/>
                                  <a:gd name="T5" fmla="*/ T4 w 1"/>
                                  <a:gd name="T6" fmla="+- 0 2931 2196"/>
                                  <a:gd name="T7" fmla="*/ 2931 h 735"/>
                                  <a:gd name="T8" fmla="+- 0 5826 5826"/>
                                  <a:gd name="T9" fmla="*/ T8 w 1"/>
                                  <a:gd name="T10" fmla="+- 0 2196 2196"/>
                                  <a:gd name="T11" fmla="*/ 2196 h 735"/>
                                  <a:gd name="T12" fmla="+- 0 5827 5826"/>
                                  <a:gd name="T13" fmla="*/ T12 w 1"/>
                                  <a:gd name="T14" fmla="+- 0 2586 2196"/>
                                  <a:gd name="T15" fmla="*/ 2586 h 735"/>
                                </a:gdLst>
                                <a:ahLst/>
                                <a:cxnLst>
                                  <a:cxn ang="0">
                                    <a:pos x="T1" y="T3"/>
                                  </a:cxn>
                                  <a:cxn ang="0">
                                    <a:pos x="T5" y="T7"/>
                                  </a:cxn>
                                  <a:cxn ang="0">
                                    <a:pos x="T9" y="T11"/>
                                  </a:cxn>
                                  <a:cxn ang="0">
                                    <a:pos x="T13" y="T15"/>
                                  </a:cxn>
                                </a:cxnLst>
                                <a:rect l="0" t="0" r="r" b="b"/>
                                <a:pathLst>
                                  <a:path w="1" h="735">
                                    <a:moveTo>
                                      <a:pt x="1" y="375"/>
                                    </a:moveTo>
                                    <a:lnTo>
                                      <a:pt x="1" y="735"/>
                                    </a:lnTo>
                                    <a:moveTo>
                                      <a:pt x="0" y="0"/>
                                    </a:moveTo>
                                    <a:lnTo>
                                      <a:pt x="1" y="39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9D1E5" id="AutoShape 27" o:spid="_x0000_s1026" style="position:absolute;margin-left:223.45pt;margin-top:60.5pt;width:.1pt;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" path="m1,375r,360m,l1,390e" filled="f" strokecolor="#497dba">
                      <v:path arrowok="t" o:connecttype="custom" o:connectlocs="1270,1632585;1270,1861185;0,1394460;1270,1642110" o:connectangles="0,0,0,0"/>
                    </v:shape>
                  </w:pict>
                </mc:Fallback>
              </mc:AlternateContent>
            </w:r>
          </w:p>
          <w:p w14:paraId="1575CFF2" w14:textId="7094DA92" w:rsidR="00BE04E2" w:rsidRDefault="00BE04E2" w:rsidP="00161F93">
            <w:pPr>
              <w:pStyle w:val="titregris"/>
              <w:framePr w:hSpace="0" w:wrap="auto" w:vAnchor="margin" w:hAnchor="text" w:xAlign="left" w:yAlign="inline"/>
              <w:rPr>
                <w:b w:val="0"/>
              </w:rPr>
            </w:pPr>
          </w:p>
          <w:p w14:paraId="03891F86" w14:textId="2C7F4ED1" w:rsidR="00BE04E2" w:rsidRDefault="00BE04E2" w:rsidP="00161F93">
            <w:pPr>
              <w:pStyle w:val="titregris"/>
              <w:framePr w:hSpace="0" w:wrap="auto" w:vAnchor="margin" w:hAnchor="text" w:xAlign="left" w:yAlign="inline"/>
              <w:rPr>
                <w:b w:val="0"/>
              </w:rPr>
            </w:pPr>
          </w:p>
          <w:p w14:paraId="6B8A837C" w14:textId="63B72166" w:rsidR="00BE04E2" w:rsidRPr="000943F3" w:rsidRDefault="00BE04E2" w:rsidP="00161F93">
            <w:pPr>
              <w:pStyle w:val="titregris"/>
              <w:framePr w:hSpace="0" w:wrap="auto" w:vAnchor="margin" w:hAnchor="text" w:xAlign="left" w:yAlign="inline"/>
              <w:rPr>
                <w:b w:val="0"/>
              </w:rPr>
            </w:pPr>
          </w:p>
        </w:tc>
      </w:tr>
      <w:tr w:rsidR="00366A73" w:rsidRPr="00315425" w14:paraId="2FE092B2" w14:textId="77777777" w:rsidTr="006C5B56">
        <w:trPr>
          <w:trHeight w:val="77"/>
        </w:trPr>
        <w:tc>
          <w:tcPr>
            <w:tcW w:w="10458" w:type="dxa"/>
            <w:tcBorders>
              <w:top w:val="single" w:sz="2" w:space="0" w:color="auto"/>
            </w:tcBorders>
          </w:tcPr>
          <w:p w14:paraId="14988B69" w14:textId="77777777" w:rsidR="00366A73" w:rsidRPr="00315425" w:rsidRDefault="00366A73" w:rsidP="00366A73">
            <w:pPr>
              <w:jc w:val="center"/>
              <w:rPr>
                <w:rFonts w:cs="Arial"/>
                <w:b/>
                <w:sz w:val="4"/>
                <w:szCs w:val="20"/>
              </w:rPr>
            </w:pPr>
          </w:p>
          <w:p w14:paraId="3B290639" w14:textId="26505AD8" w:rsidR="006C5B56" w:rsidRPr="000B503B" w:rsidRDefault="006C5B56" w:rsidP="000B503B">
            <w:pPr>
              <w:spacing w:after="40"/>
              <w:jc w:val="center"/>
              <w:rPr>
                <w:rFonts w:cs="Arial"/>
                <w:noProof/>
                <w:sz w:val="10"/>
                <w:szCs w:val="20"/>
                <w:lang w:eastAsia="en-US"/>
              </w:rPr>
            </w:pPr>
          </w:p>
        </w:tc>
      </w:tr>
    </w:tbl>
    <w:p w14:paraId="55689646" w14:textId="77777777" w:rsidR="00366A73" w:rsidRDefault="00366A73" w:rsidP="00366A73">
      <w:pPr>
        <w:jc w:val="left"/>
        <w:rPr>
          <w:rFonts w:cs="Arial"/>
          <w:vanish/>
        </w:rPr>
      </w:pPr>
    </w:p>
    <w:p w14:paraId="2859CC94" w14:textId="77777777" w:rsidR="00DB0722" w:rsidRDefault="00DB0722">
      <w:pPr>
        <w:spacing w:after="200" w:line="276" w:lineRule="auto"/>
        <w:jc w:val="left"/>
        <w:rPr>
          <w:rFonts w:cs="Arial"/>
          <w:vanish/>
        </w:rPr>
      </w:pPr>
      <w:r>
        <w:rPr>
          <w:rFonts w:cs="Arial"/>
          <w:vanish/>
        </w:rPr>
        <w:br w:type="page"/>
      </w:r>
    </w:p>
    <w:p w14:paraId="180A18BE" w14:textId="2FD97C85" w:rsidR="00DB0722" w:rsidRDefault="00DB0722">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3D6F66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67AE40C" w14:textId="77777777" w:rsidR="00366A73" w:rsidRDefault="00366A73" w:rsidP="00161F93">
            <w:pPr>
              <w:rPr>
                <w:rFonts w:cs="Arial"/>
                <w:color w:val="002060"/>
                <w:sz w:val="16"/>
                <w:szCs w:val="20"/>
                <w:shd w:val="clear" w:color="auto" w:fill="F2F2F2"/>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p w14:paraId="10FFFFB9" w14:textId="77777777" w:rsidR="00201D91" w:rsidRDefault="00201D91" w:rsidP="00687062">
            <w:pPr>
              <w:jc w:val="left"/>
              <w:rPr>
                <w:rFonts w:cs="Arial"/>
              </w:rPr>
            </w:pPr>
          </w:p>
          <w:p w14:paraId="0E034163" w14:textId="77777777" w:rsidR="00C2750E" w:rsidRP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sidRPr="00C2750E">
              <w:rPr>
                <w:rFonts w:eastAsia="Calibri" w:cs="Arial"/>
                <w:color w:val="000000"/>
                <w:sz w:val="22"/>
                <w:szCs w:val="22"/>
                <w:lang w:val="en-GB" w:eastAsia="en-US"/>
              </w:rPr>
              <w:t>Performance Standards</w:t>
            </w:r>
          </w:p>
          <w:p w14:paraId="2DF03487" w14:textId="77777777" w:rsidR="00C2750E" w:rsidRP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sidRPr="00C2750E">
              <w:rPr>
                <w:rFonts w:eastAsia="Calibri" w:cs="Arial"/>
                <w:color w:val="000000"/>
                <w:sz w:val="22"/>
                <w:szCs w:val="22"/>
                <w:lang w:val="en-GB" w:eastAsia="en-US"/>
              </w:rPr>
              <w:t xml:space="preserve">Building Compliance (HTM’s) </w:t>
            </w:r>
          </w:p>
          <w:p w14:paraId="731BF668" w14:textId="77777777" w:rsidR="00C2750E" w:rsidRP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sidRPr="00C2750E">
              <w:rPr>
                <w:rFonts w:eastAsia="Calibri" w:cs="Arial"/>
                <w:color w:val="000000"/>
                <w:sz w:val="22"/>
                <w:szCs w:val="22"/>
                <w:lang w:val="en-GB" w:eastAsia="en-US"/>
              </w:rPr>
              <w:t xml:space="preserve">Management of sub-contractors and specialist services and the in-house management team </w:t>
            </w:r>
          </w:p>
          <w:p w14:paraId="12C8EC0B" w14:textId="77777777" w:rsid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sidRPr="00C2750E">
              <w:rPr>
                <w:rFonts w:eastAsia="Calibri" w:cs="Arial"/>
                <w:color w:val="000000"/>
                <w:sz w:val="22"/>
                <w:szCs w:val="22"/>
                <w:lang w:val="en-GB" w:eastAsia="en-US"/>
              </w:rPr>
              <w:t xml:space="preserve">Financial Budgets </w:t>
            </w:r>
          </w:p>
          <w:p w14:paraId="3DB23FD6" w14:textId="4A1C1301" w:rsid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Pr>
                <w:rFonts w:eastAsia="Calibri" w:cs="Arial"/>
                <w:color w:val="000000"/>
                <w:sz w:val="22"/>
                <w:szCs w:val="22"/>
                <w:lang w:val="en-GB" w:eastAsia="en-US"/>
              </w:rPr>
              <w:t xml:space="preserve">PMF compliance </w:t>
            </w:r>
          </w:p>
          <w:p w14:paraId="74F65B04" w14:textId="2F2599D9" w:rsidR="00C2750E" w:rsidRP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Pr>
                <w:rFonts w:eastAsia="Calibri" w:cs="Arial"/>
                <w:color w:val="000000"/>
                <w:sz w:val="22"/>
                <w:szCs w:val="22"/>
                <w:lang w:val="en-GB" w:eastAsia="en-US"/>
              </w:rPr>
              <w:t>Commercial elements</w:t>
            </w:r>
          </w:p>
          <w:p w14:paraId="41142A01" w14:textId="77777777" w:rsidR="00C2750E" w:rsidRPr="00C2750E" w:rsidRDefault="00C2750E" w:rsidP="00C2750E">
            <w:pPr>
              <w:widowControl w:val="0"/>
              <w:numPr>
                <w:ilvl w:val="0"/>
                <w:numId w:val="27"/>
              </w:numPr>
              <w:autoSpaceDE w:val="0"/>
              <w:autoSpaceDN w:val="0"/>
              <w:adjustRightInd w:val="0"/>
              <w:ind w:left="828" w:hanging="361"/>
              <w:jc w:val="left"/>
              <w:rPr>
                <w:rFonts w:eastAsia="Calibri" w:cs="Arial"/>
                <w:color w:val="000000"/>
                <w:sz w:val="22"/>
                <w:szCs w:val="22"/>
                <w:lang w:val="en-GB" w:eastAsia="en-US"/>
              </w:rPr>
            </w:pPr>
            <w:r w:rsidRPr="00C2750E">
              <w:rPr>
                <w:rFonts w:eastAsia="Calibri" w:cs="Arial"/>
                <w:color w:val="000000"/>
                <w:sz w:val="22"/>
                <w:szCs w:val="22"/>
                <w:lang w:val="en-GB" w:eastAsia="en-US"/>
              </w:rPr>
              <w:t xml:space="preserve">PFI Contractual restrictions </w:t>
            </w:r>
          </w:p>
          <w:p w14:paraId="0EA51E62" w14:textId="15FDF5D6" w:rsidR="00754CA4" w:rsidRPr="00687062" w:rsidRDefault="00754CA4" w:rsidP="00754CA4">
            <w:pPr>
              <w:jc w:val="left"/>
              <w:rPr>
                <w:rFonts w:cs="Arial"/>
              </w:rPr>
            </w:pPr>
          </w:p>
          <w:p w14:paraId="5663F5BB" w14:textId="7B21B071" w:rsidR="00687062" w:rsidRPr="002A2FAD" w:rsidRDefault="00687062" w:rsidP="00161F93">
            <w:pPr>
              <w:rPr>
                <w:rFonts w:cs="Arial"/>
                <w:b/>
              </w:rPr>
            </w:pPr>
          </w:p>
        </w:tc>
      </w:tr>
    </w:tbl>
    <w:p w14:paraId="6CE19D29" w14:textId="517A0825" w:rsidR="00E57078" w:rsidRDefault="00687062" w:rsidP="00687062">
      <w:pPr>
        <w:jc w:val="left"/>
        <w:rPr>
          <w:rFonts w:cs="Arial"/>
        </w:rPr>
      </w:pPr>
      <w:r w:rsidRPr="00687062">
        <w:rPr>
          <w:rFonts w:cs="Arial"/>
        </w:rPr>
        <w:t>.</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7CFDB00" w14:textId="77777777" w:rsidTr="00161F93">
        <w:trPr>
          <w:trHeight w:val="565"/>
        </w:trPr>
        <w:tc>
          <w:tcPr>
            <w:tcW w:w="10458" w:type="dxa"/>
            <w:shd w:val="clear" w:color="auto" w:fill="F2F2F2"/>
            <w:vAlign w:val="center"/>
          </w:tcPr>
          <w:p w14:paraId="5A9EBBF3" w14:textId="77777777" w:rsidR="00BD609B" w:rsidRDefault="00BD609B" w:rsidP="009F57CF">
            <w:pPr>
              <w:pStyle w:val="titregris"/>
              <w:framePr w:hSpace="0" w:wrap="auto" w:vAnchor="margin" w:hAnchor="text" w:xAlign="left" w:yAlign="inline"/>
              <w:ind w:left="0" w:firstLine="0"/>
              <w:rPr>
                <w:color w:val="FF0000"/>
              </w:rPr>
            </w:pPr>
          </w:p>
          <w:p w14:paraId="26572269" w14:textId="4356238D"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B680DCB" w14:textId="77777777" w:rsidTr="00161F93">
        <w:trPr>
          <w:trHeight w:val="620"/>
        </w:trPr>
        <w:tc>
          <w:tcPr>
            <w:tcW w:w="10458" w:type="dxa"/>
          </w:tcPr>
          <w:p w14:paraId="72CFC4BE" w14:textId="27AF7E07" w:rsidR="00754CA4" w:rsidRPr="00754CA4" w:rsidRDefault="00754CA4" w:rsidP="00754CA4">
            <w:pPr>
              <w:rPr>
                <w:rFonts w:cs="Arial"/>
                <w:color w:val="000000" w:themeColor="text1"/>
                <w:szCs w:val="20"/>
                <w:lang w:val="en-GB"/>
              </w:rPr>
            </w:pPr>
          </w:p>
          <w:tbl>
            <w:tblPr>
              <w:tblW w:w="0" w:type="auto"/>
              <w:tblBorders>
                <w:top w:val="nil"/>
                <w:left w:val="nil"/>
                <w:bottom w:val="nil"/>
                <w:right w:val="nil"/>
              </w:tblBorders>
              <w:tblLayout w:type="fixed"/>
              <w:tblLook w:val="0000" w:firstRow="0" w:lastRow="0" w:firstColumn="0" w:lastColumn="0" w:noHBand="0" w:noVBand="0"/>
            </w:tblPr>
            <w:tblGrid>
              <w:gridCol w:w="9853"/>
            </w:tblGrid>
            <w:tr w:rsidR="00754CA4" w:rsidRPr="00754CA4" w14:paraId="52DBBCAE" w14:textId="77777777">
              <w:trPr>
                <w:trHeight w:val="3928"/>
              </w:trPr>
              <w:tc>
                <w:tcPr>
                  <w:tcW w:w="9853" w:type="dxa"/>
                </w:tcPr>
                <w:p w14:paraId="27BBAE80" w14:textId="77777777" w:rsidR="00754CA4" w:rsidRPr="00754CA4" w:rsidRDefault="00754CA4" w:rsidP="00621F52">
                  <w:pPr>
                    <w:framePr w:hSpace="180" w:wrap="around" w:vAnchor="text" w:hAnchor="margin" w:xAlign="center" w:y="192"/>
                    <w:autoSpaceDE w:val="0"/>
                    <w:autoSpaceDN w:val="0"/>
                    <w:adjustRightInd w:val="0"/>
                    <w:jc w:val="left"/>
                    <w:rPr>
                      <w:rFonts w:ascii="Symbol" w:eastAsiaTheme="minorEastAsia" w:hAnsi="Symbol" w:cstheme="minorBidi"/>
                      <w:sz w:val="24"/>
                      <w:lang w:val="en-GB" w:eastAsia="ja-JP"/>
                    </w:rPr>
                  </w:pPr>
                </w:p>
                <w:p w14:paraId="0B2BAFE0" w14:textId="1E78505D" w:rsidR="00CA2DE9" w:rsidRDefault="00661815"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Pr>
                      <w:rFonts w:eastAsiaTheme="minorEastAsia" w:cs="Arial"/>
                      <w:color w:val="000000"/>
                      <w:szCs w:val="20"/>
                      <w:lang w:val="en-GB" w:eastAsia="ja-JP"/>
                    </w:rPr>
                    <w:t>Site lead on all variation and capital project works</w:t>
                  </w:r>
                  <w:r w:rsidR="001C460E">
                    <w:rPr>
                      <w:rFonts w:eastAsiaTheme="minorEastAsia" w:cs="Arial"/>
                      <w:color w:val="000000"/>
                      <w:szCs w:val="20"/>
                      <w:lang w:val="en-GB" w:eastAsia="ja-JP"/>
                    </w:rPr>
                    <w:t>, reporting directly to the Deputy and Head of Estates.</w:t>
                  </w:r>
                </w:p>
                <w:p w14:paraId="6622398B" w14:textId="392CEA77"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Ensuring a safe working environment and safe systems of work are followed by all members of the Estates Projects team including specialist subcontractors. </w:t>
                  </w:r>
                </w:p>
                <w:p w14:paraId="4A06698E" w14:textId="2B395913"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Assisting the Senior Management team with the preparation</w:t>
                  </w:r>
                  <w:r w:rsidR="00B52061" w:rsidRPr="00EB703C">
                    <w:rPr>
                      <w:rFonts w:eastAsiaTheme="minorEastAsia" w:cs="Arial"/>
                      <w:color w:val="000000"/>
                      <w:szCs w:val="20"/>
                      <w:lang w:val="en-GB" w:eastAsia="ja-JP"/>
                    </w:rPr>
                    <w:t xml:space="preserve"> (forecasting)</w:t>
                  </w:r>
                  <w:r w:rsidRPr="00EB703C">
                    <w:rPr>
                      <w:rFonts w:eastAsiaTheme="minorEastAsia" w:cs="Arial"/>
                      <w:color w:val="000000"/>
                      <w:szCs w:val="20"/>
                      <w:lang w:val="en-GB" w:eastAsia="ja-JP"/>
                    </w:rPr>
                    <w:t xml:space="preserve"> and delivery of the annual and </w:t>
                  </w:r>
                  <w:r w:rsidR="009A4652" w:rsidRPr="00EB703C">
                    <w:rPr>
                      <w:rFonts w:eastAsiaTheme="minorEastAsia" w:cs="Arial"/>
                      <w:color w:val="000000"/>
                      <w:szCs w:val="20"/>
                      <w:lang w:val="en-GB" w:eastAsia="ja-JP"/>
                    </w:rPr>
                    <w:t>5-year</w:t>
                  </w:r>
                  <w:r w:rsidRPr="00EB703C">
                    <w:rPr>
                      <w:rFonts w:eastAsiaTheme="minorEastAsia" w:cs="Arial"/>
                      <w:color w:val="000000"/>
                      <w:szCs w:val="20"/>
                      <w:lang w:val="en-GB" w:eastAsia="ja-JP"/>
                    </w:rPr>
                    <w:t xml:space="preserve"> Projects plan. </w:t>
                  </w:r>
                </w:p>
                <w:p w14:paraId="730C412D" w14:textId="115F5E35"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Safe and compliant management of the Projects </w:t>
                  </w:r>
                  <w:r w:rsidR="00643732" w:rsidRPr="00EB703C">
                    <w:rPr>
                      <w:rFonts w:eastAsiaTheme="minorEastAsia" w:cs="Arial"/>
                      <w:color w:val="000000"/>
                      <w:szCs w:val="20"/>
                      <w:lang w:val="en-GB" w:eastAsia="ja-JP"/>
                    </w:rPr>
                    <w:t>always</w:t>
                  </w:r>
                  <w:r w:rsidR="009A4652">
                    <w:rPr>
                      <w:rFonts w:eastAsiaTheme="minorEastAsia" w:cs="Arial"/>
                      <w:color w:val="000000"/>
                      <w:szCs w:val="20"/>
                      <w:lang w:val="en-GB" w:eastAsia="ja-JP"/>
                    </w:rPr>
                    <w:t xml:space="preserve"> in line with Sodexo’s Project management framework</w:t>
                  </w:r>
                  <w:r w:rsidRPr="00EB703C">
                    <w:rPr>
                      <w:rFonts w:eastAsiaTheme="minorEastAsia" w:cs="Arial"/>
                      <w:color w:val="000000"/>
                      <w:szCs w:val="20"/>
                      <w:lang w:val="en-GB" w:eastAsia="ja-JP"/>
                    </w:rPr>
                    <w:t xml:space="preserve">. </w:t>
                  </w:r>
                </w:p>
                <w:p w14:paraId="3F885D1C" w14:textId="144CDF41" w:rsidR="00754CA4"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Safe management</w:t>
                  </w:r>
                  <w:r w:rsidR="009F57CF" w:rsidRPr="00EB703C">
                    <w:rPr>
                      <w:rFonts w:eastAsiaTheme="minorEastAsia" w:cs="Arial"/>
                      <w:color w:val="000000"/>
                      <w:szCs w:val="20"/>
                      <w:lang w:val="en-GB" w:eastAsia="ja-JP"/>
                    </w:rPr>
                    <w:t xml:space="preserve"> and quality checking</w:t>
                  </w:r>
                  <w:r w:rsidRPr="00EB703C">
                    <w:rPr>
                      <w:rFonts w:eastAsiaTheme="minorEastAsia" w:cs="Arial"/>
                      <w:color w:val="000000"/>
                      <w:szCs w:val="20"/>
                      <w:lang w:val="en-GB" w:eastAsia="ja-JP"/>
                    </w:rPr>
                    <w:t xml:space="preserve"> of all specialist subcontractors. </w:t>
                  </w:r>
                </w:p>
                <w:p w14:paraId="01BF54DD" w14:textId="65FBBEDF" w:rsidR="00696029" w:rsidRPr="00CA2DE9" w:rsidRDefault="00696029" w:rsidP="00621F52">
                  <w:pPr>
                    <w:pStyle w:val="Default"/>
                    <w:framePr w:hSpace="180" w:wrap="around" w:vAnchor="text" w:hAnchor="margin" w:xAlign="center" w:y="192"/>
                    <w:numPr>
                      <w:ilvl w:val="0"/>
                      <w:numId w:val="24"/>
                    </w:numPr>
                    <w:rPr>
                      <w:sz w:val="20"/>
                      <w:szCs w:val="20"/>
                    </w:rPr>
                  </w:pPr>
                  <w:r>
                    <w:rPr>
                      <w:sz w:val="20"/>
                      <w:szCs w:val="20"/>
                    </w:rPr>
                    <w:t xml:space="preserve">Fully experienced and with a strong understanding of the Construction Design Management Regulations (CDM). </w:t>
                  </w:r>
                </w:p>
                <w:p w14:paraId="6D68D588" w14:textId="1DA6FA5C"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Provide a joined-up approach to all Maintenance and Lifecycle activities which involve/ affect other teams within Sodexo</w:t>
                  </w:r>
                  <w:r w:rsidR="00CA2DE9">
                    <w:rPr>
                      <w:rFonts w:eastAsiaTheme="minorEastAsia" w:cs="Arial"/>
                      <w:color w:val="000000"/>
                      <w:szCs w:val="20"/>
                      <w:lang w:val="en-GB" w:eastAsia="ja-JP"/>
                    </w:rPr>
                    <w:t xml:space="preserve"> which could involve covering or supporting in lifecycle or Minor New work projects</w:t>
                  </w:r>
                  <w:r w:rsidRPr="00EB703C">
                    <w:rPr>
                      <w:rFonts w:eastAsiaTheme="minorEastAsia" w:cs="Arial"/>
                      <w:color w:val="000000"/>
                      <w:szCs w:val="20"/>
                      <w:lang w:val="en-GB" w:eastAsia="ja-JP"/>
                    </w:rPr>
                    <w:t xml:space="preserve">. </w:t>
                  </w:r>
                </w:p>
                <w:p w14:paraId="69D4C4DB" w14:textId="07E65975"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Ensure compliance with the project agreement, existing and new statutory regulations, Sodexo policies, Trust Policies and HTMs </w:t>
                  </w:r>
                  <w:r w:rsidR="009A4652" w:rsidRPr="00EB703C">
                    <w:rPr>
                      <w:rFonts w:eastAsiaTheme="minorEastAsia" w:cs="Arial"/>
                      <w:color w:val="000000"/>
                      <w:szCs w:val="20"/>
                      <w:lang w:val="en-GB" w:eastAsia="ja-JP"/>
                    </w:rPr>
                    <w:t>always</w:t>
                  </w:r>
                  <w:r w:rsidRPr="00EB703C">
                    <w:rPr>
                      <w:rFonts w:eastAsiaTheme="minorEastAsia" w:cs="Arial"/>
                      <w:color w:val="000000"/>
                      <w:szCs w:val="20"/>
                      <w:lang w:val="en-GB" w:eastAsia="ja-JP"/>
                    </w:rPr>
                    <w:t xml:space="preserve">. </w:t>
                  </w:r>
                </w:p>
                <w:p w14:paraId="2290E88A" w14:textId="65923234"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Maintain good working relationships with peers, client and customers both clinical and non-clinical. </w:t>
                  </w:r>
                </w:p>
                <w:p w14:paraId="272AB89F" w14:textId="2641CC3E"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Undertake Authorised Person / Competent Person responsibilities in relation to specified systems ensuring site wide cover </w:t>
                  </w:r>
                  <w:r w:rsidR="009A4652" w:rsidRPr="00EB703C">
                    <w:rPr>
                      <w:rFonts w:eastAsiaTheme="minorEastAsia" w:cs="Arial"/>
                      <w:color w:val="000000"/>
                      <w:szCs w:val="20"/>
                      <w:lang w:val="en-GB" w:eastAsia="ja-JP"/>
                    </w:rPr>
                    <w:t>is always available</w:t>
                  </w:r>
                  <w:r w:rsidRPr="00EB703C">
                    <w:rPr>
                      <w:rFonts w:eastAsiaTheme="minorEastAsia" w:cs="Arial"/>
                      <w:color w:val="000000"/>
                      <w:szCs w:val="20"/>
                      <w:lang w:val="en-GB" w:eastAsia="ja-JP"/>
                    </w:rPr>
                    <w:t xml:space="preserve">.  </w:t>
                  </w:r>
                </w:p>
                <w:p w14:paraId="7AE35DFC" w14:textId="3C32FAC4"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lastRenderedPageBreak/>
                    <w:t xml:space="preserve">The cost-effective delivery of a Project Management Service in line with the project agreement and schedules. </w:t>
                  </w:r>
                </w:p>
                <w:p w14:paraId="1202F44C" w14:textId="0DE74424" w:rsidR="00166F4F"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Ensure adequate cover is in place to support the efficient operations of the Projects team in a profitable manner. </w:t>
                  </w:r>
                </w:p>
                <w:p w14:paraId="702868C7" w14:textId="057B1C20" w:rsidR="002A479B"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Day to day </w:t>
                  </w:r>
                  <w:r w:rsidR="002A479B" w:rsidRPr="00EB703C">
                    <w:rPr>
                      <w:rFonts w:cs="Arial"/>
                    </w:rPr>
                    <w:t>onsite presence for excellent contractor control and quality assurance.</w:t>
                  </w:r>
                </w:p>
                <w:p w14:paraId="415D4C0D" w14:textId="2E9C5063" w:rsidR="00754CA4" w:rsidRPr="00EB703C" w:rsidRDefault="00EB703C"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C</w:t>
                  </w:r>
                  <w:r w:rsidR="00754CA4" w:rsidRPr="00EB703C">
                    <w:rPr>
                      <w:rFonts w:eastAsiaTheme="minorEastAsia" w:cs="Arial"/>
                      <w:color w:val="000000"/>
                      <w:szCs w:val="20"/>
                      <w:lang w:val="en-GB" w:eastAsia="ja-JP"/>
                    </w:rPr>
                    <w:t xml:space="preserve">ommercial management in line with contractual requirements and Sodexo operating procedures. Working with Senior Management agreeing, monitoring and reporting against budgets. </w:t>
                  </w:r>
                </w:p>
                <w:p w14:paraId="333B6378" w14:textId="3DD8DA06"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Active member of the Estates Management team. Representing the Estates Department. commercially and technically at meetings and when required by the Senior Management team. </w:t>
                  </w:r>
                </w:p>
                <w:p w14:paraId="0863B6C8" w14:textId="345A8AF4"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Commercial and Quality management of the operational element of the contract, including management of the Performance Monitoring systems and to ensure Contract and Commercial Compliance </w:t>
                  </w:r>
                </w:p>
                <w:p w14:paraId="7467D55E" w14:textId="4676964F" w:rsidR="00754CA4" w:rsidRPr="00EB703C"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Maintain formal and informal communication with Trust managers related to services activities/ working group. </w:t>
                  </w:r>
                </w:p>
                <w:p w14:paraId="4E7178A0" w14:textId="3E73B179" w:rsidR="00754CA4" w:rsidRDefault="00754CA4"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EB703C">
                    <w:rPr>
                      <w:rFonts w:eastAsiaTheme="minorEastAsia" w:cs="Arial"/>
                      <w:color w:val="000000"/>
                      <w:szCs w:val="20"/>
                      <w:lang w:val="en-GB" w:eastAsia="ja-JP"/>
                    </w:rPr>
                    <w:t xml:space="preserve">Use of IT systems to include the CAFM and BMS systems to provide, monitor and report data within  </w:t>
                  </w:r>
                </w:p>
                <w:p w14:paraId="3D800E0F" w14:textId="4D2B018B"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Management of Sodexo, client and customer expectations regarding Projects activities.</w:t>
                  </w:r>
                </w:p>
                <w:p w14:paraId="738CB728" w14:textId="086A0ED2"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Assess and advise the Deputy Head and Head of Estates how Sodexo can enhance the current inefficient and risk loaded methods of non-Sodexo entities Project Management activities.</w:t>
                  </w:r>
                </w:p>
                <w:p w14:paraId="64889F03" w14:textId="66816C52"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Provide the Head of Estates with a Monthly detailed report of risks and opportunities with the Estates Projects environments and current status of ongoing projects.</w:t>
                  </w:r>
                </w:p>
                <w:p w14:paraId="59F44117" w14:textId="72307848"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Delivery of the Projects Department operating procedures, internal governance, risk assessments &amp; method statements (RAMS) and workflow diagrams aligned to ISO and Statutory Healthcare Standards.</w:t>
                  </w:r>
                </w:p>
                <w:p w14:paraId="5356036F" w14:textId="34CE3CB1"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Participate in handover of projects reviews with non-Sodexo entities, and report to the Head of Estates where areas of contention exist.</w:t>
                  </w:r>
                </w:p>
                <w:p w14:paraId="00AB870A" w14:textId="017D60C6"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Ensure as paramount compliance with all existing and all statutory regulations and HTM’s.</w:t>
                  </w:r>
                </w:p>
                <w:p w14:paraId="665C3498" w14:textId="45F6184D"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On the acceptance of Test and Commissioning handover of Projects, professionally assure the O&amp;M detail and future maintenance requirements are collected and commissioned onto the Sodexo Global Maximo</w:t>
                  </w:r>
                  <w:r>
                    <w:rPr>
                      <w:rFonts w:cs="Arial"/>
                    </w:rPr>
                    <w:t xml:space="preserve"> </w:t>
                  </w:r>
                  <w:r w:rsidRPr="009A4652">
                    <w:rPr>
                      <w:rFonts w:cs="Arial"/>
                    </w:rPr>
                    <w:t>system.</w:t>
                  </w:r>
                </w:p>
                <w:p w14:paraId="6E2BADF6" w14:textId="7FEAEA7C"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Enhance the current Sodexo Estates process of handling, executing and completing Small Works and Variation projects &amp; AP/CP rechargeable services in a timely manner.</w:t>
                  </w:r>
                </w:p>
                <w:p w14:paraId="5FF7974D" w14:textId="01C919BF"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Work closely with the Sodexo Estates BMS &amp; Energy Manager to achieve contractual obligations and identifying Energy risks and opportunities</w:t>
                  </w:r>
                </w:p>
                <w:p w14:paraId="5E41673E" w14:textId="0D72353D"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Management of the Estates Technical Library, with an inherent need to work closely with the Estates Compliance Manager and team.</w:t>
                  </w:r>
                  <w:r>
                    <w:rPr>
                      <w:rFonts w:cs="Arial"/>
                    </w:rPr>
                    <w:t xml:space="preserve"> Ensuring all Project </w:t>
                  </w:r>
                  <w:r w:rsidR="00E80F80">
                    <w:rPr>
                      <w:rFonts w:cs="Arial"/>
                    </w:rPr>
                    <w:t xml:space="preserve">and completion documents are stored securely </w:t>
                  </w:r>
                  <w:r w:rsidR="00643732">
                    <w:rPr>
                      <w:rFonts w:cs="Arial"/>
                    </w:rPr>
                    <w:t>on Sodexo’s online platforms.</w:t>
                  </w:r>
                </w:p>
                <w:p w14:paraId="60B73F60" w14:textId="7A68F328"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Exchange, interpret, analyze and calculate complex information and communicate to specialists and non-specialists</w:t>
                  </w:r>
                </w:p>
                <w:p w14:paraId="3C18C178" w14:textId="7F6A5563"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Have specialist skills and experience in the practice of Projects management, conversation, leadership and alternative technologies</w:t>
                  </w:r>
                </w:p>
                <w:p w14:paraId="7BF873B8" w14:textId="63F16051"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Use data and information in complex forms to dashboard, benchmark, fault find, predict and analyze future maintenance requirements.</w:t>
                  </w:r>
                </w:p>
                <w:p w14:paraId="0ECB0DC8" w14:textId="4327182F"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Develop long term strategic Estates Projects plans to implement organizational objectives for critical services</w:t>
                  </w:r>
                </w:p>
                <w:p w14:paraId="097C6B61" w14:textId="2159F38A"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Have / gain a full understanding of the assets that are Sodexo responsibility for lifecycle and productively manage the maintenance regime for reporting assets reaching their end of life.</w:t>
                  </w:r>
                </w:p>
                <w:p w14:paraId="2195ADCD" w14:textId="0D87E67A" w:rsidR="009A4652" w:rsidRPr="009A4652" w:rsidRDefault="009A4652" w:rsidP="00621F52">
                  <w:pPr>
                    <w:pStyle w:val="ListParagraph"/>
                    <w:framePr w:hSpace="180" w:wrap="around" w:vAnchor="text" w:hAnchor="margin" w:xAlign="center" w:y="192"/>
                    <w:numPr>
                      <w:ilvl w:val="0"/>
                      <w:numId w:val="24"/>
                    </w:numPr>
                    <w:jc w:val="left"/>
                    <w:rPr>
                      <w:rFonts w:cs="Arial"/>
                    </w:rPr>
                  </w:pPr>
                  <w:r w:rsidRPr="009A4652">
                    <w:rPr>
                      <w:rFonts w:cs="Arial"/>
                    </w:rPr>
                    <w:t>Work with the Head of Estates and Commercial Manager for reporting defects and ring-fencing associated costs for reimbursement.</w:t>
                  </w:r>
                </w:p>
                <w:p w14:paraId="446CD381" w14:textId="0639591C" w:rsidR="009A4652" w:rsidRPr="00EB703C" w:rsidRDefault="009A4652" w:rsidP="00621F52">
                  <w:pPr>
                    <w:pStyle w:val="ListParagraph"/>
                    <w:framePr w:hSpace="180" w:wrap="around" w:vAnchor="text" w:hAnchor="margin" w:xAlign="center" w:y="192"/>
                    <w:numPr>
                      <w:ilvl w:val="0"/>
                      <w:numId w:val="24"/>
                    </w:numPr>
                    <w:autoSpaceDE w:val="0"/>
                    <w:autoSpaceDN w:val="0"/>
                    <w:adjustRightInd w:val="0"/>
                    <w:jc w:val="left"/>
                    <w:rPr>
                      <w:rFonts w:eastAsiaTheme="minorEastAsia" w:cs="Arial"/>
                      <w:color w:val="000000"/>
                      <w:szCs w:val="20"/>
                      <w:lang w:val="en-GB" w:eastAsia="ja-JP"/>
                    </w:rPr>
                  </w:pPr>
                  <w:r w:rsidRPr="00754CA4">
                    <w:rPr>
                      <w:rFonts w:cs="Arial"/>
                    </w:rPr>
                    <w:t>Ensure we receive competitive pricing</w:t>
                  </w:r>
                  <w:r>
                    <w:rPr>
                      <w:rFonts w:cs="Arial"/>
                    </w:rPr>
                    <w:t>, value for money</w:t>
                  </w:r>
                  <w:r w:rsidRPr="00754CA4">
                    <w:rPr>
                      <w:rFonts w:cs="Arial"/>
                    </w:rPr>
                    <w:t xml:space="preserve"> and quality assurance</w:t>
                  </w:r>
                  <w:r>
                    <w:rPr>
                      <w:rFonts w:cs="Arial"/>
                    </w:rPr>
                    <w:t xml:space="preserve"> through multiple quotes</w:t>
                  </w:r>
                  <w:r w:rsidRPr="00754CA4">
                    <w:rPr>
                      <w:rFonts w:cs="Arial"/>
                    </w:rPr>
                    <w:t xml:space="preserve"> for all subcontracted maintenance tasks.</w:t>
                  </w:r>
                </w:p>
                <w:p w14:paraId="722D672A" w14:textId="77777777" w:rsidR="00754CA4" w:rsidRPr="00754CA4" w:rsidRDefault="00754CA4" w:rsidP="00621F52">
                  <w:pPr>
                    <w:framePr w:hSpace="180" w:wrap="around" w:vAnchor="text" w:hAnchor="margin" w:xAlign="center" w:y="192"/>
                    <w:autoSpaceDE w:val="0"/>
                    <w:autoSpaceDN w:val="0"/>
                    <w:adjustRightInd w:val="0"/>
                    <w:jc w:val="left"/>
                    <w:rPr>
                      <w:rFonts w:eastAsiaTheme="minorEastAsia" w:cs="Arial"/>
                      <w:color w:val="000000"/>
                      <w:szCs w:val="20"/>
                      <w:lang w:val="en-GB" w:eastAsia="ja-JP"/>
                    </w:rPr>
                  </w:pPr>
                </w:p>
              </w:tc>
            </w:tr>
          </w:tbl>
          <w:p w14:paraId="1CE38529" w14:textId="3EE1ADA7" w:rsidR="00424476" w:rsidRPr="00754CA4" w:rsidRDefault="00424476" w:rsidP="00754CA4">
            <w:pPr>
              <w:rPr>
                <w:rFonts w:cs="Arial"/>
                <w:color w:val="000000" w:themeColor="text1"/>
                <w:szCs w:val="20"/>
              </w:rPr>
            </w:pPr>
          </w:p>
          <w:p w14:paraId="54C9C3C4" w14:textId="3F398657" w:rsidR="00754CA4" w:rsidRPr="00424476" w:rsidRDefault="00754CA4" w:rsidP="00754CA4">
            <w:pPr>
              <w:pStyle w:val="ListParagraph"/>
              <w:rPr>
                <w:rFonts w:cs="Arial"/>
                <w:color w:val="000000" w:themeColor="text1"/>
                <w:szCs w:val="20"/>
                <w:lang w:val="en-GB"/>
              </w:rPr>
            </w:pPr>
          </w:p>
        </w:tc>
      </w:tr>
    </w:tbl>
    <w:p w14:paraId="41E60B8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DDBDB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55DBC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16BBBDD" w14:textId="77777777" w:rsidTr="00161F93">
        <w:trPr>
          <w:trHeight w:val="620"/>
        </w:trPr>
        <w:tc>
          <w:tcPr>
            <w:tcW w:w="10456" w:type="dxa"/>
            <w:tcBorders>
              <w:top w:val="nil"/>
              <w:left w:val="single" w:sz="2" w:space="0" w:color="auto"/>
              <w:bottom w:val="single" w:sz="4" w:space="0" w:color="auto"/>
              <w:right w:val="single" w:sz="4" w:space="0" w:color="auto"/>
            </w:tcBorders>
          </w:tcPr>
          <w:p w14:paraId="18FAB4FF" w14:textId="2C5CB472" w:rsidR="00754CA4" w:rsidRDefault="00FB77E8"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Communication &amp; Relationship skills</w:t>
            </w:r>
          </w:p>
          <w:p w14:paraId="7B8343F7" w14:textId="1AD4DA7A" w:rsidR="00FB77E8" w:rsidRDefault="00FB77E8"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Knowledge training &amp; experience</w:t>
            </w:r>
          </w:p>
          <w:p w14:paraId="72CE4865" w14:textId="6F44D6BF" w:rsidR="00FB77E8" w:rsidRDefault="00FB77E8"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Patient / Client Care</w:t>
            </w:r>
          </w:p>
          <w:p w14:paraId="66C4979B" w14:textId="2809BF40" w:rsid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Project risk; design, cost, compliance considered, reported and mitigated</w:t>
            </w:r>
          </w:p>
          <w:p w14:paraId="1EF90BFF"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 xml:space="preserve">Effective organisation, co-ordination and planning </w:t>
            </w:r>
          </w:p>
          <w:p w14:paraId="534E04AF"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Project programmes managed and delivered</w:t>
            </w:r>
          </w:p>
          <w:p w14:paraId="73169F9D"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w:t>
            </w:r>
            <w:r w:rsidRPr="00901964">
              <w:rPr>
                <w:rFonts w:cs="Arial"/>
                <w:color w:val="000000" w:themeColor="text1"/>
                <w:szCs w:val="20"/>
                <w:lang w:val="en-GB"/>
              </w:rPr>
              <w:t>roject completed on time and within contractual timescales</w:t>
            </w:r>
          </w:p>
          <w:p w14:paraId="025209E7" w14:textId="77777777" w:rsid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Governance &amp; process adhered to</w:t>
            </w:r>
          </w:p>
          <w:p w14:paraId="7FA13EB4" w14:textId="77777777" w:rsidR="00754CA4" w:rsidRDefault="00754CA4" w:rsidP="00FB77E8">
            <w:pPr>
              <w:pStyle w:val="Default"/>
              <w:rPr>
                <w:color w:val="000000" w:themeColor="text1"/>
                <w:szCs w:val="20"/>
              </w:rPr>
            </w:pPr>
          </w:p>
          <w:p w14:paraId="45F63568" w14:textId="3EEF5BCB" w:rsidR="00FB77E8" w:rsidRPr="00901964" w:rsidRDefault="00FB77E8" w:rsidP="00FB77E8">
            <w:pPr>
              <w:pStyle w:val="Default"/>
              <w:rPr>
                <w:color w:val="000000" w:themeColor="text1"/>
                <w:szCs w:val="20"/>
              </w:rPr>
            </w:pPr>
          </w:p>
        </w:tc>
      </w:tr>
    </w:tbl>
    <w:p w14:paraId="6D12C20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07E53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3BD7FB" w14:textId="77777777" w:rsidR="00BD609B" w:rsidRDefault="00BD609B" w:rsidP="009A4652">
            <w:pPr>
              <w:pStyle w:val="titregris"/>
              <w:framePr w:hSpace="0" w:wrap="auto" w:vAnchor="margin" w:hAnchor="text" w:xAlign="left" w:yAlign="inline"/>
              <w:ind w:left="0" w:firstLine="0"/>
              <w:rPr>
                <w:color w:val="FF0000"/>
              </w:rPr>
            </w:pPr>
          </w:p>
          <w:p w14:paraId="03AAA851" w14:textId="32D8C64A"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349E6EF" w14:textId="77777777" w:rsidTr="004238D8">
        <w:trPr>
          <w:trHeight w:val="620"/>
        </w:trPr>
        <w:tc>
          <w:tcPr>
            <w:tcW w:w="10458" w:type="dxa"/>
            <w:tcBorders>
              <w:top w:val="nil"/>
              <w:left w:val="single" w:sz="2" w:space="0" w:color="auto"/>
              <w:bottom w:val="single" w:sz="4" w:space="0" w:color="auto"/>
              <w:right w:val="single" w:sz="4" w:space="0" w:color="auto"/>
            </w:tcBorders>
          </w:tcPr>
          <w:p w14:paraId="724B3152" w14:textId="388CFF8D" w:rsidR="00E0047D" w:rsidRDefault="00E0047D" w:rsidP="00E0047D">
            <w:pPr>
              <w:pStyle w:val="Puces4"/>
              <w:numPr>
                <w:ilvl w:val="0"/>
                <w:numId w:val="0"/>
              </w:numPr>
              <w:ind w:left="341" w:hanging="171"/>
            </w:pPr>
            <w:r>
              <w:t xml:space="preserve">Essential </w:t>
            </w:r>
          </w:p>
          <w:p w14:paraId="7B9FAD96" w14:textId="77B83EB9" w:rsidR="00215132" w:rsidRPr="00215132" w:rsidRDefault="00135721" w:rsidP="00760A54">
            <w:pPr>
              <w:pStyle w:val="Puces4"/>
              <w:numPr>
                <w:ilvl w:val="0"/>
                <w:numId w:val="3"/>
              </w:numPr>
            </w:pPr>
            <w:r>
              <w:t>Project Management Degree or Masters</w:t>
            </w:r>
          </w:p>
          <w:p w14:paraId="578CDB0F" w14:textId="2AE05813" w:rsidR="00BD609B" w:rsidRDefault="00BD609B" w:rsidP="00760A54">
            <w:pPr>
              <w:pStyle w:val="Puces4"/>
              <w:numPr>
                <w:ilvl w:val="0"/>
                <w:numId w:val="3"/>
              </w:numPr>
            </w:pPr>
            <w:r>
              <w:rPr>
                <w:rFonts w:eastAsia="Times New Roman"/>
              </w:rPr>
              <w:t>Completion of C&amp;G / BTEC or equivalent in building trades and recognised certified apprenticeship</w:t>
            </w:r>
          </w:p>
          <w:p w14:paraId="5906DA0F" w14:textId="77777777" w:rsidR="004238D8" w:rsidRDefault="00933583" w:rsidP="00760A54">
            <w:pPr>
              <w:pStyle w:val="Puces4"/>
              <w:numPr>
                <w:ilvl w:val="0"/>
                <w:numId w:val="3"/>
              </w:numPr>
            </w:pPr>
            <w:r w:rsidRPr="00A6660E">
              <w:rPr>
                <w:rFonts w:eastAsia="Times New Roman"/>
              </w:rPr>
              <w:t>Experience in construction / maintenance environment</w:t>
            </w:r>
          </w:p>
          <w:p w14:paraId="76E85F24" w14:textId="77777777" w:rsidR="00933583" w:rsidRPr="00760A54" w:rsidRDefault="00933583" w:rsidP="00760A54">
            <w:pPr>
              <w:pStyle w:val="Puces4"/>
              <w:numPr>
                <w:ilvl w:val="0"/>
                <w:numId w:val="3"/>
              </w:numPr>
            </w:pPr>
            <w:r>
              <w:rPr>
                <w:rFonts w:eastAsia="Times New Roman"/>
              </w:rPr>
              <w:t>Prov</w:t>
            </w:r>
            <w:r w:rsidRPr="00A6660E">
              <w:rPr>
                <w:rFonts w:eastAsia="Times New Roman"/>
              </w:rPr>
              <w:t>en experience of Project Management</w:t>
            </w:r>
          </w:p>
          <w:p w14:paraId="6EC46C3E" w14:textId="77777777" w:rsidR="00760A54" w:rsidRPr="00D32351" w:rsidRDefault="00760A54" w:rsidP="00760A54">
            <w:pPr>
              <w:pStyle w:val="Default"/>
              <w:numPr>
                <w:ilvl w:val="0"/>
                <w:numId w:val="3"/>
              </w:numPr>
              <w:rPr>
                <w:sz w:val="20"/>
                <w:szCs w:val="20"/>
              </w:rPr>
            </w:pPr>
            <w:r w:rsidRPr="00D32351">
              <w:rPr>
                <w:sz w:val="20"/>
                <w:szCs w:val="20"/>
              </w:rPr>
              <w:t xml:space="preserve">HTM awareness </w:t>
            </w:r>
          </w:p>
          <w:p w14:paraId="51381F0F" w14:textId="77777777" w:rsidR="00760A54" w:rsidRPr="00D32351" w:rsidRDefault="00760A54" w:rsidP="00760A54">
            <w:pPr>
              <w:pStyle w:val="Default"/>
              <w:numPr>
                <w:ilvl w:val="0"/>
                <w:numId w:val="3"/>
              </w:numPr>
              <w:rPr>
                <w:sz w:val="20"/>
                <w:szCs w:val="20"/>
              </w:rPr>
            </w:pPr>
            <w:r w:rsidRPr="00D32351">
              <w:rPr>
                <w:sz w:val="20"/>
                <w:szCs w:val="20"/>
              </w:rPr>
              <w:t xml:space="preserve">Sound knowledge of the CDM Regulations </w:t>
            </w:r>
          </w:p>
          <w:p w14:paraId="710C5A90" w14:textId="77777777" w:rsidR="00760A54" w:rsidRPr="00D32351" w:rsidRDefault="00760A54" w:rsidP="00760A54">
            <w:pPr>
              <w:pStyle w:val="Default"/>
              <w:numPr>
                <w:ilvl w:val="0"/>
                <w:numId w:val="3"/>
              </w:numPr>
              <w:rPr>
                <w:sz w:val="20"/>
                <w:szCs w:val="20"/>
              </w:rPr>
            </w:pPr>
            <w:r w:rsidRPr="00D32351">
              <w:rPr>
                <w:sz w:val="20"/>
                <w:szCs w:val="20"/>
              </w:rPr>
              <w:t xml:space="preserve">CAD or similar programme knowledge </w:t>
            </w:r>
          </w:p>
          <w:p w14:paraId="01FB42FF" w14:textId="77777777" w:rsidR="00760A54" w:rsidRPr="00D32351" w:rsidRDefault="00760A54" w:rsidP="00760A54">
            <w:pPr>
              <w:pStyle w:val="Default"/>
              <w:numPr>
                <w:ilvl w:val="0"/>
                <w:numId w:val="3"/>
              </w:numPr>
              <w:rPr>
                <w:sz w:val="20"/>
                <w:szCs w:val="20"/>
              </w:rPr>
            </w:pPr>
            <w:r w:rsidRPr="00D32351">
              <w:rPr>
                <w:sz w:val="20"/>
                <w:szCs w:val="20"/>
              </w:rPr>
              <w:t xml:space="preserve">Sound knowledge of Legionella prevention and management </w:t>
            </w:r>
          </w:p>
          <w:p w14:paraId="1F45EDB5" w14:textId="77777777" w:rsidR="00760A54" w:rsidRPr="00D32351" w:rsidRDefault="00760A54" w:rsidP="00760A54">
            <w:pPr>
              <w:pStyle w:val="Default"/>
              <w:numPr>
                <w:ilvl w:val="0"/>
                <w:numId w:val="3"/>
              </w:numPr>
              <w:rPr>
                <w:sz w:val="20"/>
                <w:szCs w:val="20"/>
              </w:rPr>
            </w:pPr>
            <w:r w:rsidRPr="00D32351">
              <w:rPr>
                <w:sz w:val="20"/>
                <w:szCs w:val="20"/>
              </w:rPr>
              <w:t xml:space="preserve">Sound Knowledge of Energy Management </w:t>
            </w:r>
          </w:p>
          <w:p w14:paraId="58BCEDA8" w14:textId="77777777" w:rsidR="00760A54" w:rsidRPr="00D32351" w:rsidRDefault="00760A54" w:rsidP="00760A54">
            <w:pPr>
              <w:pStyle w:val="Default"/>
              <w:numPr>
                <w:ilvl w:val="0"/>
                <w:numId w:val="3"/>
              </w:numPr>
              <w:rPr>
                <w:sz w:val="20"/>
                <w:szCs w:val="20"/>
              </w:rPr>
            </w:pPr>
            <w:r w:rsidRPr="00D32351">
              <w:rPr>
                <w:sz w:val="20"/>
                <w:szCs w:val="20"/>
              </w:rPr>
              <w:t xml:space="preserve">Sound Knowledge of Health &amp; Safety </w:t>
            </w:r>
          </w:p>
          <w:p w14:paraId="4B96E548" w14:textId="50D60057" w:rsidR="00933583" w:rsidRPr="00BB109B" w:rsidRDefault="00760A54" w:rsidP="00BB109B">
            <w:pPr>
              <w:pStyle w:val="Default"/>
              <w:numPr>
                <w:ilvl w:val="0"/>
                <w:numId w:val="3"/>
              </w:numPr>
              <w:rPr>
                <w:sz w:val="20"/>
                <w:szCs w:val="20"/>
              </w:rPr>
            </w:pPr>
            <w:r w:rsidRPr="00D32351">
              <w:rPr>
                <w:sz w:val="20"/>
                <w:szCs w:val="20"/>
              </w:rPr>
              <w:t xml:space="preserve">Sound Building Management System Knowledge </w:t>
            </w:r>
          </w:p>
          <w:p w14:paraId="76E6E913" w14:textId="77777777" w:rsidR="00EA3990" w:rsidRPr="00933583" w:rsidRDefault="00933583" w:rsidP="00760A54">
            <w:pPr>
              <w:pStyle w:val="Puces4"/>
              <w:numPr>
                <w:ilvl w:val="0"/>
                <w:numId w:val="3"/>
              </w:numPr>
            </w:pPr>
            <w:r w:rsidRPr="00A6660E">
              <w:rPr>
                <w:rFonts w:eastAsia="Times New Roman"/>
              </w:rPr>
              <w:t>Ability to keep focus on day-to-day performance whilst simultaneously pursuing longer-term opportunities.</w:t>
            </w:r>
          </w:p>
          <w:p w14:paraId="688BECB9" w14:textId="77777777" w:rsidR="00933583" w:rsidRPr="00FB77E8" w:rsidRDefault="00933583" w:rsidP="00760A54">
            <w:pPr>
              <w:pStyle w:val="Puces4"/>
              <w:numPr>
                <w:ilvl w:val="0"/>
                <w:numId w:val="3"/>
              </w:numPr>
            </w:pPr>
            <w:r w:rsidRPr="00A6660E">
              <w:rPr>
                <w:rFonts w:eastAsia="Times New Roman"/>
              </w:rPr>
              <w:t>Experienced in managing budgets and project finance</w:t>
            </w:r>
          </w:p>
          <w:p w14:paraId="197ACDC3" w14:textId="77777777" w:rsidR="00FB77E8" w:rsidRDefault="00FB77E8" w:rsidP="00760A54">
            <w:pPr>
              <w:pStyle w:val="Puces4"/>
              <w:numPr>
                <w:ilvl w:val="0"/>
                <w:numId w:val="3"/>
              </w:numPr>
            </w:pPr>
            <w:r>
              <w:t>Excellent people management skills</w:t>
            </w:r>
          </w:p>
          <w:p w14:paraId="40DA7875" w14:textId="77777777" w:rsidR="00FB77E8" w:rsidRDefault="00FB77E8" w:rsidP="00760A54">
            <w:pPr>
              <w:pStyle w:val="Puces4"/>
              <w:numPr>
                <w:ilvl w:val="0"/>
                <w:numId w:val="3"/>
              </w:numPr>
            </w:pPr>
            <w:r>
              <w:t>Prepared to undertake standby rota</w:t>
            </w:r>
          </w:p>
          <w:p w14:paraId="5CBF3BF6" w14:textId="1368285E" w:rsidR="00FB77E8" w:rsidRDefault="00FB77E8" w:rsidP="00760A54">
            <w:pPr>
              <w:pStyle w:val="Puces4"/>
              <w:numPr>
                <w:ilvl w:val="0"/>
                <w:numId w:val="3"/>
              </w:numPr>
            </w:pPr>
            <w:r>
              <w:t>Must be computer literate with knowledge in Excel, Word, power point</w:t>
            </w:r>
            <w:r w:rsidR="00BB109B">
              <w:t>, MS Project</w:t>
            </w:r>
            <w:r>
              <w:t xml:space="preserve"> </w:t>
            </w:r>
          </w:p>
          <w:p w14:paraId="6B0A7AB1" w14:textId="2BA6B667" w:rsidR="00FB77E8" w:rsidRDefault="00FB77E8" w:rsidP="00760A54">
            <w:pPr>
              <w:pStyle w:val="Puces4"/>
              <w:numPr>
                <w:ilvl w:val="0"/>
                <w:numId w:val="3"/>
              </w:numPr>
            </w:pPr>
            <w:r>
              <w:t>Ability to demonstrate a good aptitude for problem solving using logical approach</w:t>
            </w:r>
          </w:p>
          <w:p w14:paraId="73827A32" w14:textId="77777777" w:rsidR="00FB77E8" w:rsidRDefault="00FB77E8" w:rsidP="00760A54">
            <w:pPr>
              <w:pStyle w:val="Puces4"/>
              <w:numPr>
                <w:ilvl w:val="0"/>
                <w:numId w:val="3"/>
              </w:numPr>
            </w:pPr>
            <w:r>
              <w:t>Good understanding of Health and Safety regulations</w:t>
            </w:r>
          </w:p>
          <w:p w14:paraId="6B544E3C" w14:textId="24EEA605" w:rsidR="00074078" w:rsidRDefault="00074078" w:rsidP="00074078">
            <w:pPr>
              <w:pStyle w:val="Puces4"/>
              <w:numPr>
                <w:ilvl w:val="0"/>
                <w:numId w:val="0"/>
              </w:numPr>
              <w:ind w:left="341" w:hanging="171"/>
            </w:pPr>
            <w:r>
              <w:t>Desirable</w:t>
            </w:r>
          </w:p>
          <w:p w14:paraId="227AA62B" w14:textId="77777777" w:rsidR="00760A54" w:rsidRPr="00BB109B" w:rsidRDefault="00760A54" w:rsidP="00760A54">
            <w:pPr>
              <w:pStyle w:val="Puces4"/>
              <w:numPr>
                <w:ilvl w:val="0"/>
                <w:numId w:val="3"/>
              </w:numPr>
            </w:pPr>
            <w:r>
              <w:rPr>
                <w:rFonts w:eastAsia="Times New Roman"/>
              </w:rPr>
              <w:t>Completion of C&amp;G / BTEC or equivalent in building trades and recognised certified apprenticeship</w:t>
            </w:r>
          </w:p>
          <w:p w14:paraId="0AA5D3AC" w14:textId="77AFDEC4" w:rsidR="00BB109B" w:rsidRDefault="00BB109B" w:rsidP="00760A54">
            <w:pPr>
              <w:pStyle w:val="Puces4"/>
              <w:numPr>
                <w:ilvl w:val="0"/>
                <w:numId w:val="3"/>
              </w:numPr>
            </w:pPr>
            <w:r>
              <w:rPr>
                <w:rFonts w:eastAsia="Times New Roman"/>
              </w:rPr>
              <w:t>BSR/BSA regulations understanding</w:t>
            </w:r>
          </w:p>
          <w:p w14:paraId="7CF7727E" w14:textId="219754A1" w:rsidR="00074078" w:rsidRDefault="00BB109B" w:rsidP="00BB109B">
            <w:pPr>
              <w:pStyle w:val="Puces4"/>
              <w:numPr>
                <w:ilvl w:val="0"/>
                <w:numId w:val="3"/>
              </w:numPr>
            </w:pPr>
            <w:r w:rsidRPr="00A6660E">
              <w:rPr>
                <w:rFonts w:eastAsia="Times New Roman"/>
              </w:rPr>
              <w:t>Supply chain management</w:t>
            </w:r>
          </w:p>
          <w:p w14:paraId="1A01FAEC" w14:textId="77777777" w:rsidR="00675B6A" w:rsidRPr="00D32351" w:rsidRDefault="00675B6A" w:rsidP="00675B6A">
            <w:pPr>
              <w:pStyle w:val="Default"/>
              <w:numPr>
                <w:ilvl w:val="0"/>
                <w:numId w:val="3"/>
              </w:numPr>
              <w:rPr>
                <w:sz w:val="20"/>
                <w:szCs w:val="20"/>
              </w:rPr>
            </w:pPr>
            <w:r w:rsidRPr="00D32351">
              <w:rPr>
                <w:sz w:val="20"/>
                <w:szCs w:val="20"/>
              </w:rPr>
              <w:t xml:space="preserve">Previous experience of PFI Hard FM Contracts </w:t>
            </w:r>
          </w:p>
          <w:p w14:paraId="138869A7" w14:textId="20764003" w:rsidR="00FB77E8" w:rsidRPr="004238D8" w:rsidRDefault="00FB77E8" w:rsidP="00215132">
            <w:pPr>
              <w:pStyle w:val="Puces4"/>
              <w:numPr>
                <w:ilvl w:val="0"/>
                <w:numId w:val="0"/>
              </w:numPr>
              <w:ind w:left="360"/>
            </w:pPr>
          </w:p>
        </w:tc>
      </w:tr>
    </w:tbl>
    <w:p w14:paraId="752D52A9" w14:textId="77777777" w:rsidR="00C7510B" w:rsidRDefault="00C7510B" w:rsidP="00DB3FA6"/>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78D43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C916B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F25611" w14:textId="77777777" w:rsidTr="0007446E">
        <w:trPr>
          <w:trHeight w:val="620"/>
        </w:trPr>
        <w:tc>
          <w:tcPr>
            <w:tcW w:w="10456" w:type="dxa"/>
            <w:tcBorders>
              <w:top w:val="nil"/>
              <w:left w:val="single" w:sz="2" w:space="0" w:color="auto"/>
              <w:bottom w:val="single" w:sz="4" w:space="0" w:color="auto"/>
              <w:right w:val="single" w:sz="4" w:space="0" w:color="auto"/>
            </w:tcBorders>
          </w:tcPr>
          <w:p w14:paraId="757290E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B3FA6" w:rsidRPr="00375F11" w14:paraId="302A637F" w14:textId="77777777" w:rsidTr="0007446E">
              <w:tc>
                <w:tcPr>
                  <w:tcW w:w="4473" w:type="dxa"/>
                </w:tcPr>
                <w:p w14:paraId="472EEED3" w14:textId="77777777" w:rsidR="00DB3FA6" w:rsidRPr="00375F11" w:rsidRDefault="00DB3FA6" w:rsidP="00621F52">
                  <w:pPr>
                    <w:pStyle w:val="Puces4"/>
                    <w:framePr w:hSpace="180" w:wrap="around" w:vAnchor="text" w:hAnchor="margin" w:xAlign="center" w:y="192"/>
                    <w:rPr>
                      <w:rFonts w:eastAsia="Times New Roman"/>
                    </w:rPr>
                  </w:pPr>
                  <w:r w:rsidRPr="00933583">
                    <w:rPr>
                      <w:rFonts w:eastAsia="Times New Roman"/>
                    </w:rPr>
                    <w:t>Brand Notoriety</w:t>
                  </w:r>
                </w:p>
              </w:tc>
              <w:tc>
                <w:tcPr>
                  <w:tcW w:w="4524" w:type="dxa"/>
                </w:tcPr>
                <w:p w14:paraId="6E8CF1F0" w14:textId="77777777" w:rsidR="00DB3FA6" w:rsidRPr="00375F11" w:rsidRDefault="00DB3FA6" w:rsidP="00621F52">
                  <w:pPr>
                    <w:pStyle w:val="Puces4"/>
                    <w:framePr w:hSpace="180" w:wrap="around" w:vAnchor="text" w:hAnchor="margin" w:xAlign="center" w:y="192"/>
                    <w:rPr>
                      <w:rFonts w:eastAsia="Times New Roman"/>
                    </w:rPr>
                  </w:pPr>
                  <w:r w:rsidRPr="00933583">
                    <w:rPr>
                      <w:rFonts w:eastAsia="Times New Roman"/>
                    </w:rPr>
                    <w:t>Commercial Awareness</w:t>
                  </w:r>
                </w:p>
              </w:tc>
            </w:tr>
            <w:tr w:rsidR="00DB3FA6" w:rsidRPr="00375F11" w14:paraId="24FE688A" w14:textId="77777777" w:rsidTr="0007446E">
              <w:tc>
                <w:tcPr>
                  <w:tcW w:w="4473" w:type="dxa"/>
                </w:tcPr>
                <w:p w14:paraId="6537DAC6" w14:textId="77777777" w:rsidR="00DB3FA6" w:rsidRPr="00375F11" w:rsidRDefault="00DB3FA6" w:rsidP="00621F52">
                  <w:pPr>
                    <w:pStyle w:val="Puces4"/>
                    <w:framePr w:hSpace="180" w:wrap="around" w:vAnchor="text" w:hAnchor="margin" w:xAlign="center" w:y="192"/>
                    <w:rPr>
                      <w:rFonts w:eastAsia="Times New Roman"/>
                    </w:rPr>
                  </w:pPr>
                  <w:r w:rsidRPr="00933583">
                    <w:rPr>
                      <w:rFonts w:eastAsia="Times New Roman"/>
                    </w:rPr>
                    <w:t>Growth, Client &amp; Customer Satisfaction / Quality of Services provided</w:t>
                  </w:r>
                </w:p>
              </w:tc>
              <w:tc>
                <w:tcPr>
                  <w:tcW w:w="4524" w:type="dxa"/>
                </w:tcPr>
                <w:p w14:paraId="2AD0BD64" w14:textId="77777777" w:rsidR="00DB3FA6" w:rsidRDefault="00DB3FA6" w:rsidP="00621F52">
                  <w:pPr>
                    <w:pStyle w:val="Puces4"/>
                    <w:framePr w:hSpace="180" w:wrap="around" w:vAnchor="text" w:hAnchor="margin" w:xAlign="center" w:y="192"/>
                  </w:pPr>
                  <w:r w:rsidRPr="00933583">
                    <w:t>Rigorous management of results</w:t>
                  </w:r>
                </w:p>
              </w:tc>
            </w:tr>
            <w:tr w:rsidR="00DB3FA6" w:rsidRPr="00375F11" w14:paraId="52E9B234" w14:textId="77777777" w:rsidTr="0007446E">
              <w:tc>
                <w:tcPr>
                  <w:tcW w:w="4473" w:type="dxa"/>
                </w:tcPr>
                <w:p w14:paraId="4EFD4D59" w14:textId="77777777" w:rsidR="00DB3FA6" w:rsidRPr="00375F11" w:rsidRDefault="00DE6AC1" w:rsidP="00621F52">
                  <w:pPr>
                    <w:pStyle w:val="Puces4"/>
                    <w:framePr w:hSpace="180" w:wrap="around" w:vAnchor="text" w:hAnchor="margin" w:xAlign="center" w:y="192"/>
                    <w:rPr>
                      <w:rFonts w:eastAsia="Times New Roman"/>
                    </w:rPr>
                  </w:pPr>
                  <w:r w:rsidRPr="007A6EA3">
                    <w:rPr>
                      <w:color w:val="000000" w:themeColor="text1"/>
                      <w:szCs w:val="20"/>
                    </w:rPr>
                    <w:t>Employee Engagement</w:t>
                  </w:r>
                </w:p>
              </w:tc>
              <w:tc>
                <w:tcPr>
                  <w:tcW w:w="4524" w:type="dxa"/>
                </w:tcPr>
                <w:p w14:paraId="668D39A7" w14:textId="77777777" w:rsidR="00DB3FA6" w:rsidRPr="00375F11" w:rsidRDefault="00DE6AC1" w:rsidP="00621F52">
                  <w:pPr>
                    <w:pStyle w:val="Puces4"/>
                    <w:framePr w:hSpace="180" w:wrap="around" w:vAnchor="text" w:hAnchor="margin" w:xAlign="center" w:y="192"/>
                    <w:rPr>
                      <w:rFonts w:eastAsia="Times New Roman"/>
                    </w:rPr>
                  </w:pPr>
                  <w:r w:rsidRPr="007A6EA3">
                    <w:t>Innovation and Change</w:t>
                  </w:r>
                </w:p>
              </w:tc>
            </w:tr>
          </w:tbl>
          <w:p w14:paraId="6A665C5D" w14:textId="77777777" w:rsidR="00EA3990" w:rsidRPr="00EA3990" w:rsidRDefault="00EA3990" w:rsidP="00EA3990">
            <w:pPr>
              <w:spacing w:before="40"/>
              <w:ind w:left="720"/>
              <w:jc w:val="left"/>
              <w:rPr>
                <w:rFonts w:cs="Arial"/>
                <w:color w:val="000000" w:themeColor="text1"/>
                <w:szCs w:val="20"/>
                <w:lang w:val="en-GB"/>
              </w:rPr>
            </w:pPr>
          </w:p>
        </w:tc>
      </w:tr>
    </w:tbl>
    <w:p w14:paraId="32DCB4CD" w14:textId="77777777" w:rsidR="00EA3990" w:rsidRDefault="00EA3990" w:rsidP="00DB3FA6"/>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AC3CF6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10E23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3FC12DA" w14:textId="77777777" w:rsidTr="00DB3FA6">
        <w:trPr>
          <w:trHeight w:val="620"/>
        </w:trPr>
        <w:tc>
          <w:tcPr>
            <w:tcW w:w="10458" w:type="dxa"/>
            <w:tcBorders>
              <w:top w:val="nil"/>
              <w:left w:val="single" w:sz="2" w:space="0" w:color="auto"/>
              <w:bottom w:val="single" w:sz="4" w:space="0" w:color="auto"/>
              <w:right w:val="single" w:sz="4" w:space="0" w:color="auto"/>
            </w:tcBorders>
          </w:tcPr>
          <w:p w14:paraId="64F826F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2EE0A94" w14:textId="77777777" w:rsidTr="00E57078">
              <w:tc>
                <w:tcPr>
                  <w:tcW w:w="2122" w:type="dxa"/>
                </w:tcPr>
                <w:p w14:paraId="1EFC94D3" w14:textId="77777777" w:rsidR="00E57078" w:rsidRDefault="00E57078" w:rsidP="00621F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AE61F1E" w14:textId="4B0EA54E" w:rsidR="00E57078" w:rsidRDefault="00612DE8" w:rsidP="00621F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FB77E8">
                    <w:rPr>
                      <w:rFonts w:cs="Arial"/>
                      <w:color w:val="000000" w:themeColor="text1"/>
                      <w:szCs w:val="20"/>
                      <w:lang w:val="en-GB"/>
                    </w:rPr>
                    <w:t>1</w:t>
                  </w:r>
                </w:p>
              </w:tc>
              <w:tc>
                <w:tcPr>
                  <w:tcW w:w="2557" w:type="dxa"/>
                </w:tcPr>
                <w:p w14:paraId="4944B224" w14:textId="009EC6BF" w:rsidR="00E57078" w:rsidRDefault="00E57078" w:rsidP="00621F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E6AC1">
                    <w:rPr>
                      <w:rFonts w:cs="Arial"/>
                      <w:color w:val="000000" w:themeColor="text1"/>
                      <w:szCs w:val="20"/>
                      <w:lang w:val="en-GB"/>
                    </w:rPr>
                    <w:t xml:space="preserve"> </w:t>
                  </w:r>
                  <w:r w:rsidR="00FB77E8">
                    <w:rPr>
                      <w:rFonts w:cs="Arial"/>
                      <w:color w:val="000000" w:themeColor="text1"/>
                      <w:szCs w:val="20"/>
                      <w:lang w:val="en-GB"/>
                    </w:rPr>
                    <w:t>12.01.2021</w:t>
                  </w:r>
                </w:p>
              </w:tc>
              <w:tc>
                <w:tcPr>
                  <w:tcW w:w="2557" w:type="dxa"/>
                </w:tcPr>
                <w:p w14:paraId="6B72ECA9" w14:textId="77777777" w:rsidR="00E57078" w:rsidRDefault="00E57078" w:rsidP="00621F52">
                  <w:pPr>
                    <w:framePr w:hSpace="180" w:wrap="around" w:vAnchor="text" w:hAnchor="margin" w:xAlign="center" w:y="192"/>
                    <w:spacing w:before="40"/>
                    <w:jc w:val="left"/>
                    <w:rPr>
                      <w:rFonts w:cs="Arial"/>
                      <w:color w:val="000000" w:themeColor="text1"/>
                      <w:szCs w:val="20"/>
                      <w:lang w:val="en-GB"/>
                    </w:rPr>
                  </w:pPr>
                </w:p>
              </w:tc>
            </w:tr>
            <w:tr w:rsidR="00E57078" w14:paraId="7B251426" w14:textId="77777777" w:rsidTr="00E57078">
              <w:tc>
                <w:tcPr>
                  <w:tcW w:w="2122" w:type="dxa"/>
                </w:tcPr>
                <w:p w14:paraId="71189AEB" w14:textId="77777777" w:rsidR="00E57078" w:rsidRDefault="00E57078" w:rsidP="00621F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7FC0A54" w14:textId="11AFA057" w:rsidR="00E57078" w:rsidRDefault="00FB77E8" w:rsidP="00621F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bl>
          <w:p w14:paraId="5882FBA0" w14:textId="77777777" w:rsidR="00E57078" w:rsidRPr="00EA3990" w:rsidRDefault="00E57078" w:rsidP="00353228">
            <w:pPr>
              <w:spacing w:before="40"/>
              <w:ind w:left="720"/>
              <w:jc w:val="left"/>
              <w:rPr>
                <w:rFonts w:cs="Arial"/>
                <w:color w:val="000000" w:themeColor="text1"/>
                <w:szCs w:val="20"/>
                <w:lang w:val="en-GB"/>
              </w:rPr>
            </w:pPr>
          </w:p>
        </w:tc>
      </w:tr>
    </w:tbl>
    <w:p w14:paraId="686BF3FC" w14:textId="77777777" w:rsidR="00E57078" w:rsidRPr="00366A73" w:rsidRDefault="00E57078" w:rsidP="000E3EF7">
      <w:pPr>
        <w:spacing w:after="200" w:line="276" w:lineRule="auto"/>
        <w:jc w:val="left"/>
      </w:pPr>
    </w:p>
    <w:sectPr w:rsidR="00E57078" w:rsidRPr="00366A73" w:rsidSect="00DB0722">
      <w:pgSz w:w="11906" w:h="16838" w:code="9"/>
      <w:pgMar w:top="1418" w:right="1418" w:bottom="567"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DF83" w14:textId="77777777" w:rsidR="00CB38B2" w:rsidRDefault="00CB38B2" w:rsidP="00DB3FA6">
      <w:r>
        <w:separator/>
      </w:r>
    </w:p>
  </w:endnote>
  <w:endnote w:type="continuationSeparator" w:id="0">
    <w:p w14:paraId="6F84677D" w14:textId="77777777" w:rsidR="00CB38B2" w:rsidRDefault="00CB38B2" w:rsidP="00D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218F" w14:textId="77777777" w:rsidR="00CB38B2" w:rsidRDefault="00CB38B2" w:rsidP="00DB3FA6">
      <w:r>
        <w:separator/>
      </w:r>
    </w:p>
  </w:footnote>
  <w:footnote w:type="continuationSeparator" w:id="0">
    <w:p w14:paraId="5ADC636C" w14:textId="77777777" w:rsidR="00CB38B2" w:rsidRDefault="00CB38B2" w:rsidP="00DB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5D675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4C4643D"/>
    <w:multiLevelType w:val="hybridMultilevel"/>
    <w:tmpl w:val="00EC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65A25EB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867CA"/>
    <w:multiLevelType w:val="hybridMultilevel"/>
    <w:tmpl w:val="10304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E0939"/>
    <w:multiLevelType w:val="hybridMultilevel"/>
    <w:tmpl w:val="023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851ED"/>
    <w:multiLevelType w:val="hybridMultilevel"/>
    <w:tmpl w:val="5E1830FC"/>
    <w:lvl w:ilvl="0" w:tplc="1494C78E">
      <w:numFmt w:val="bullet"/>
      <w:lvlText w:val=""/>
      <w:lvlJc w:val="left"/>
      <w:pPr>
        <w:ind w:left="828" w:hanging="361"/>
      </w:pPr>
      <w:rPr>
        <w:rFonts w:ascii="Wingdings" w:eastAsia="Wingdings" w:hAnsi="Wingdings" w:cs="Wingdings" w:hint="default"/>
        <w:color w:val="FF0000"/>
        <w:w w:val="100"/>
        <w:sz w:val="16"/>
        <w:szCs w:val="16"/>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D257C"/>
    <w:multiLevelType w:val="hybridMultilevel"/>
    <w:tmpl w:val="65A4DE1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24C0F"/>
    <w:multiLevelType w:val="hybridMultilevel"/>
    <w:tmpl w:val="54AA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152373">
    <w:abstractNumId w:val="10"/>
  </w:num>
  <w:num w:numId="2" w16cid:durableId="343090114">
    <w:abstractNumId w:val="14"/>
  </w:num>
  <w:num w:numId="3" w16cid:durableId="1711420848">
    <w:abstractNumId w:val="2"/>
  </w:num>
  <w:num w:numId="4" w16cid:durableId="1491018281">
    <w:abstractNumId w:val="12"/>
  </w:num>
  <w:num w:numId="5" w16cid:durableId="1484009200">
    <w:abstractNumId w:val="6"/>
  </w:num>
  <w:num w:numId="6" w16cid:durableId="2110809705">
    <w:abstractNumId w:val="3"/>
  </w:num>
  <w:num w:numId="7" w16cid:durableId="1771272867">
    <w:abstractNumId w:val="15"/>
  </w:num>
  <w:num w:numId="8" w16cid:durableId="1828784052">
    <w:abstractNumId w:val="9"/>
  </w:num>
  <w:num w:numId="9" w16cid:durableId="2012638162">
    <w:abstractNumId w:val="19"/>
  </w:num>
  <w:num w:numId="10" w16cid:durableId="534074550">
    <w:abstractNumId w:val="20"/>
  </w:num>
  <w:num w:numId="11" w16cid:durableId="1082262102">
    <w:abstractNumId w:val="11"/>
  </w:num>
  <w:num w:numId="12" w16cid:durableId="475798391">
    <w:abstractNumId w:val="0"/>
  </w:num>
  <w:num w:numId="13" w16cid:durableId="540551755">
    <w:abstractNumId w:val="16"/>
  </w:num>
  <w:num w:numId="14" w16cid:durableId="257980064">
    <w:abstractNumId w:val="5"/>
  </w:num>
  <w:num w:numId="15" w16cid:durableId="1641423189">
    <w:abstractNumId w:val="17"/>
  </w:num>
  <w:num w:numId="16" w16cid:durableId="2083721359">
    <w:abstractNumId w:val="18"/>
  </w:num>
  <w:num w:numId="17" w16cid:durableId="520630234">
    <w:abstractNumId w:val="0"/>
  </w:num>
  <w:num w:numId="18" w16cid:durableId="16127276">
    <w:abstractNumId w:val="0"/>
  </w:num>
  <w:num w:numId="19" w16cid:durableId="703557519">
    <w:abstractNumId w:val="0"/>
  </w:num>
  <w:num w:numId="20" w16cid:durableId="1264264679">
    <w:abstractNumId w:val="0"/>
  </w:num>
  <w:num w:numId="21" w16cid:durableId="985090781">
    <w:abstractNumId w:val="0"/>
  </w:num>
  <w:num w:numId="22" w16cid:durableId="952858843">
    <w:abstractNumId w:val="7"/>
  </w:num>
  <w:num w:numId="23" w16cid:durableId="1818648048">
    <w:abstractNumId w:val="21"/>
  </w:num>
  <w:num w:numId="24" w16cid:durableId="1319962801">
    <w:abstractNumId w:val="1"/>
  </w:num>
  <w:num w:numId="25" w16cid:durableId="1292174713">
    <w:abstractNumId w:val="8"/>
  </w:num>
  <w:num w:numId="26" w16cid:durableId="1892619506">
    <w:abstractNumId w:val="4"/>
  </w:num>
  <w:num w:numId="27" w16cid:durableId="1315721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74078"/>
    <w:rsid w:val="000B503B"/>
    <w:rsid w:val="000D6404"/>
    <w:rsid w:val="000E3EF7"/>
    <w:rsid w:val="00104BDE"/>
    <w:rsid w:val="001226F7"/>
    <w:rsid w:val="00135721"/>
    <w:rsid w:val="00144E5D"/>
    <w:rsid w:val="00166F4F"/>
    <w:rsid w:val="001C460E"/>
    <w:rsid w:val="001F1F6A"/>
    <w:rsid w:val="00201D91"/>
    <w:rsid w:val="00204AA7"/>
    <w:rsid w:val="00215132"/>
    <w:rsid w:val="00293E5D"/>
    <w:rsid w:val="002A479B"/>
    <w:rsid w:val="002B1DC6"/>
    <w:rsid w:val="002E184B"/>
    <w:rsid w:val="002F599C"/>
    <w:rsid w:val="00352529"/>
    <w:rsid w:val="00366A73"/>
    <w:rsid w:val="003C68C8"/>
    <w:rsid w:val="004238D8"/>
    <w:rsid w:val="00424476"/>
    <w:rsid w:val="00445A72"/>
    <w:rsid w:val="00453288"/>
    <w:rsid w:val="00494D6F"/>
    <w:rsid w:val="0049632B"/>
    <w:rsid w:val="004B2221"/>
    <w:rsid w:val="004D170A"/>
    <w:rsid w:val="005051D6"/>
    <w:rsid w:val="00520545"/>
    <w:rsid w:val="005D0518"/>
    <w:rsid w:val="005D278E"/>
    <w:rsid w:val="005E5B63"/>
    <w:rsid w:val="00603346"/>
    <w:rsid w:val="00612DE8"/>
    <w:rsid w:val="00613392"/>
    <w:rsid w:val="00616B0B"/>
    <w:rsid w:val="00621F52"/>
    <w:rsid w:val="00643732"/>
    <w:rsid w:val="00646B79"/>
    <w:rsid w:val="00656519"/>
    <w:rsid w:val="00661815"/>
    <w:rsid w:val="00674674"/>
    <w:rsid w:val="00675B6A"/>
    <w:rsid w:val="006802C0"/>
    <w:rsid w:val="00687062"/>
    <w:rsid w:val="00696029"/>
    <w:rsid w:val="006C5B56"/>
    <w:rsid w:val="006C77B7"/>
    <w:rsid w:val="006E1438"/>
    <w:rsid w:val="00745A24"/>
    <w:rsid w:val="00754CA4"/>
    <w:rsid w:val="00760A54"/>
    <w:rsid w:val="007900A0"/>
    <w:rsid w:val="007E23CF"/>
    <w:rsid w:val="007F602D"/>
    <w:rsid w:val="008B64DE"/>
    <w:rsid w:val="008D1A2B"/>
    <w:rsid w:val="00901964"/>
    <w:rsid w:val="00933583"/>
    <w:rsid w:val="00953C24"/>
    <w:rsid w:val="0097195A"/>
    <w:rsid w:val="009A4652"/>
    <w:rsid w:val="009E08A5"/>
    <w:rsid w:val="009F57CF"/>
    <w:rsid w:val="00A37146"/>
    <w:rsid w:val="00A5332C"/>
    <w:rsid w:val="00A6660E"/>
    <w:rsid w:val="00AA46BF"/>
    <w:rsid w:val="00AD1DEC"/>
    <w:rsid w:val="00AD5E2E"/>
    <w:rsid w:val="00B348D1"/>
    <w:rsid w:val="00B52061"/>
    <w:rsid w:val="00B70457"/>
    <w:rsid w:val="00BB109B"/>
    <w:rsid w:val="00BD609B"/>
    <w:rsid w:val="00BE04E2"/>
    <w:rsid w:val="00BE6ECC"/>
    <w:rsid w:val="00BF4D80"/>
    <w:rsid w:val="00C22530"/>
    <w:rsid w:val="00C2750E"/>
    <w:rsid w:val="00C4467B"/>
    <w:rsid w:val="00C4695A"/>
    <w:rsid w:val="00C61430"/>
    <w:rsid w:val="00C645BD"/>
    <w:rsid w:val="00C672CC"/>
    <w:rsid w:val="00C7510B"/>
    <w:rsid w:val="00C81275"/>
    <w:rsid w:val="00CA2DE9"/>
    <w:rsid w:val="00CB38B2"/>
    <w:rsid w:val="00CC0297"/>
    <w:rsid w:val="00CC2929"/>
    <w:rsid w:val="00D35069"/>
    <w:rsid w:val="00D65B9D"/>
    <w:rsid w:val="00D742D4"/>
    <w:rsid w:val="00D949FB"/>
    <w:rsid w:val="00DB0722"/>
    <w:rsid w:val="00DB3FA6"/>
    <w:rsid w:val="00DE5E49"/>
    <w:rsid w:val="00DE6AC1"/>
    <w:rsid w:val="00E0047D"/>
    <w:rsid w:val="00E22C76"/>
    <w:rsid w:val="00E31AA0"/>
    <w:rsid w:val="00E33C91"/>
    <w:rsid w:val="00E57078"/>
    <w:rsid w:val="00E70392"/>
    <w:rsid w:val="00E80F80"/>
    <w:rsid w:val="00E820C8"/>
    <w:rsid w:val="00E86121"/>
    <w:rsid w:val="00EA3990"/>
    <w:rsid w:val="00EA4C16"/>
    <w:rsid w:val="00EA5822"/>
    <w:rsid w:val="00EB703C"/>
    <w:rsid w:val="00EF6ED7"/>
    <w:rsid w:val="00F11A1A"/>
    <w:rsid w:val="00F25D75"/>
    <w:rsid w:val="00F3712F"/>
    <w:rsid w:val="00F479E6"/>
    <w:rsid w:val="00FA1A0A"/>
    <w:rsid w:val="00FB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112DA"/>
  <w15:docId w15:val="{5AD60F21-3319-49B8-963A-B5824E0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FA6"/>
    <w:pPr>
      <w:tabs>
        <w:tab w:val="center" w:pos="4513"/>
        <w:tab w:val="right" w:pos="9026"/>
      </w:tabs>
    </w:pPr>
  </w:style>
  <w:style w:type="character" w:customStyle="1" w:styleId="HeaderChar">
    <w:name w:val="Header Char"/>
    <w:basedOn w:val="DefaultParagraphFont"/>
    <w:link w:val="Header"/>
    <w:uiPriority w:val="99"/>
    <w:rsid w:val="00DB3FA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B3FA6"/>
    <w:pPr>
      <w:tabs>
        <w:tab w:val="center" w:pos="4513"/>
        <w:tab w:val="right" w:pos="9026"/>
      </w:tabs>
    </w:pPr>
  </w:style>
  <w:style w:type="character" w:customStyle="1" w:styleId="FooterChar">
    <w:name w:val="Footer Char"/>
    <w:basedOn w:val="DefaultParagraphFont"/>
    <w:link w:val="Footer"/>
    <w:uiPriority w:val="99"/>
    <w:rsid w:val="00DB3FA6"/>
    <w:rPr>
      <w:rFonts w:ascii="Arial" w:eastAsia="Times New Roman" w:hAnsi="Arial" w:cs="Times New Roman"/>
      <w:sz w:val="20"/>
      <w:szCs w:val="24"/>
      <w:lang w:val="en-US" w:eastAsia="fr-FR"/>
    </w:rPr>
  </w:style>
  <w:style w:type="paragraph" w:customStyle="1" w:styleId="Default">
    <w:name w:val="Default"/>
    <w:rsid w:val="00A533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2C62-88CA-4AFC-9BF0-DC4E2C5E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1651</Words>
  <Characters>9413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Mellor, Samuel</cp:lastModifiedBy>
  <cp:revision>5</cp:revision>
  <dcterms:created xsi:type="dcterms:W3CDTF">2025-09-04T19:35:00Z</dcterms:created>
  <dcterms:modified xsi:type="dcterms:W3CDTF">2025-09-04T19:38:00Z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