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1F3DCD79" w:rsidR="00685BE2" w:rsidRPr="00707D60" w:rsidRDefault="00CB2BFD" w:rsidP="00D42667">
                            <w:pPr>
                              <w:jc w:val="left"/>
                              <w:rPr>
                                <w:b/>
                                <w:bCs/>
                                <w:color w:val="FFFFFF" w:themeColor="background1"/>
                                <w:sz w:val="40"/>
                                <w:szCs w:val="40"/>
                                <w:lang w:val="en-AU"/>
                              </w:rPr>
                            </w:pPr>
                            <w:r>
                              <w:rPr>
                                <w:b/>
                                <w:bCs/>
                                <w:color w:val="FFFFFF" w:themeColor="background1"/>
                                <w:sz w:val="44"/>
                                <w:szCs w:val="44"/>
                                <w:lang w:val="en-GB"/>
                              </w:rPr>
                              <w:t>Audit &amp; Compliance Working Group Member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1F3DCD79" w:rsidR="00685BE2" w:rsidRPr="00707D60" w:rsidRDefault="00CB2BFD" w:rsidP="00D42667">
                      <w:pPr>
                        <w:jc w:val="left"/>
                        <w:rPr>
                          <w:b/>
                          <w:bCs/>
                          <w:color w:val="FFFFFF" w:themeColor="background1"/>
                          <w:sz w:val="40"/>
                          <w:szCs w:val="40"/>
                          <w:lang w:val="en-AU"/>
                        </w:rPr>
                      </w:pPr>
                      <w:r>
                        <w:rPr>
                          <w:b/>
                          <w:bCs/>
                          <w:color w:val="FFFFFF" w:themeColor="background1"/>
                          <w:sz w:val="44"/>
                          <w:szCs w:val="44"/>
                          <w:lang w:val="en-GB"/>
                        </w:rPr>
                        <w:t>Audit &amp; Compliance Working Group Member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403DCDFD" w:rsidR="00800A60" w:rsidRPr="00A824A9" w:rsidRDefault="00B07217" w:rsidP="00800A60">
            <w:pPr>
              <w:spacing w:before="20" w:after="20"/>
              <w:jc w:val="left"/>
              <w:rPr>
                <w:rFonts w:cs="Arial"/>
                <w:color w:val="000000" w:themeColor="text1"/>
                <w:szCs w:val="20"/>
              </w:rPr>
            </w:pPr>
            <w:r>
              <w:rPr>
                <w:rFonts w:cs="Arial"/>
                <w:color w:val="000000" w:themeColor="text1"/>
                <w:szCs w:val="20"/>
              </w:rPr>
              <w:t xml:space="preserve">Stop Hunger Foundation </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33D37C4F" w:rsidR="00800A60" w:rsidRPr="00A824A9" w:rsidRDefault="00CB2BFD" w:rsidP="00800A60">
            <w:pPr>
              <w:spacing w:before="20" w:after="20"/>
              <w:jc w:val="left"/>
              <w:rPr>
                <w:rFonts w:cs="Arial"/>
                <w:color w:val="000000" w:themeColor="text1"/>
                <w:szCs w:val="20"/>
                <w:lang w:val="en-GB"/>
              </w:rPr>
            </w:pPr>
            <w:r>
              <w:rPr>
                <w:rFonts w:cs="Arial"/>
                <w:sz w:val="18"/>
                <w:szCs w:val="18"/>
              </w:rPr>
              <w:t>Audit &amp; Compliance Working Group Member</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6F132E8C" w:rsidR="00800A60" w:rsidRPr="00A824A9" w:rsidRDefault="00D42667" w:rsidP="00800A60">
            <w:pPr>
              <w:spacing w:before="20" w:after="20"/>
              <w:jc w:val="left"/>
              <w:rPr>
                <w:rFonts w:cs="Arial"/>
                <w:color w:val="000000" w:themeColor="text1"/>
                <w:szCs w:val="20"/>
              </w:rPr>
            </w:pPr>
            <w:r>
              <w:rPr>
                <w:rFonts w:cs="Arial"/>
                <w:color w:val="000000" w:themeColor="text1"/>
                <w:szCs w:val="20"/>
              </w:rPr>
              <w:t>N/A</w:t>
            </w: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34ABF5DD" w:rsidR="00D42667" w:rsidRPr="00A824A9" w:rsidRDefault="00D42667" w:rsidP="00800A60">
            <w:pPr>
              <w:spacing w:before="20" w:after="20"/>
              <w:jc w:val="left"/>
              <w:rPr>
                <w:rFonts w:cs="Arial"/>
                <w:color w:val="000000" w:themeColor="text1"/>
                <w:szCs w:val="20"/>
              </w:rPr>
            </w:pPr>
            <w:r>
              <w:rPr>
                <w:rFonts w:cs="Arial"/>
                <w:color w:val="000000" w:themeColor="text1"/>
                <w:szCs w:val="20"/>
              </w:rPr>
              <w:t>N/A</w:t>
            </w: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110EE58B" w:rsidR="00800A60" w:rsidRDefault="00B07217" w:rsidP="00800A60">
            <w:pPr>
              <w:spacing w:before="20" w:after="20"/>
              <w:jc w:val="left"/>
              <w:rPr>
                <w:rFonts w:cs="Arial"/>
                <w:color w:val="000000" w:themeColor="text1"/>
                <w:szCs w:val="20"/>
              </w:rPr>
            </w:pPr>
            <w:r>
              <w:rPr>
                <w:rFonts w:cs="Arial"/>
                <w:color w:val="000000" w:themeColor="text1"/>
                <w:szCs w:val="20"/>
              </w:rPr>
              <w:t>Stop Hunger Board of Trustees</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7779E8BB" w:rsidR="00800A60" w:rsidRDefault="00D42667" w:rsidP="00800A60">
            <w:pPr>
              <w:spacing w:before="20" w:after="20"/>
              <w:jc w:val="left"/>
              <w:rPr>
                <w:rFonts w:cs="Arial"/>
                <w:color w:val="000000" w:themeColor="text1"/>
                <w:szCs w:val="20"/>
              </w:rPr>
            </w:pPr>
            <w:r>
              <w:rPr>
                <w:rFonts w:cs="Arial"/>
                <w:color w:val="000000" w:themeColor="text1"/>
                <w:szCs w:val="20"/>
              </w:rPr>
              <w:t>N/A</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77453249" w:rsidR="00800A60" w:rsidRDefault="00B07217" w:rsidP="00800A60">
            <w:pPr>
              <w:spacing w:before="20" w:after="20"/>
              <w:jc w:val="left"/>
              <w:rPr>
                <w:rFonts w:cs="Arial"/>
                <w:color w:val="000000" w:themeColor="text1"/>
                <w:szCs w:val="20"/>
              </w:rPr>
            </w:pPr>
            <w:r>
              <w:rPr>
                <w:rFonts w:cs="Arial"/>
                <w:color w:val="000000" w:themeColor="text1"/>
                <w:szCs w:val="20"/>
              </w:rPr>
              <w:t>N/A</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282F3142" w14:textId="7AF62F8D" w:rsidR="00AF0CE6" w:rsidRPr="00941BE3" w:rsidRDefault="00941BE3" w:rsidP="00D42667">
            <w:pPr>
              <w:jc w:val="left"/>
              <w:rPr>
                <w:rFonts w:cs="Arial"/>
                <w:color w:val="000000" w:themeColor="text1"/>
                <w:szCs w:val="20"/>
                <w:lang w:val="en-GB"/>
              </w:rPr>
            </w:pPr>
            <w:r w:rsidRPr="00941BE3">
              <w:rPr>
                <w:rFonts w:cs="Arial"/>
                <w:color w:val="000000" w:themeColor="text1"/>
                <w:szCs w:val="20"/>
                <w:lang w:val="en-GB"/>
              </w:rPr>
              <w:t>To provide independent oversight, expert scrutiny, and objective challenge to ensure strong financial governance, effective audit processes, robust risk management, and full compliance across the Sodexo Stop Hunger Foundation UK&amp;I.</w:t>
            </w: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19C54854" w14:textId="77777777" w:rsidR="00982EAC" w:rsidRPr="00982EAC" w:rsidRDefault="00982EAC" w:rsidP="00982EAC">
            <w:pPr>
              <w:pStyle w:val="Puces4"/>
              <w:rPr>
                <w:color w:val="000000" w:themeColor="text1"/>
                <w:szCs w:val="20"/>
              </w:rPr>
            </w:pPr>
            <w:r w:rsidRPr="00982EAC">
              <w:rPr>
                <w:color w:val="000000" w:themeColor="text1"/>
                <w:szCs w:val="20"/>
              </w:rPr>
              <w:t>Review financial statements, internal controls, and financial governance processes to ensure accuracy, transparency, and compliance.</w:t>
            </w:r>
          </w:p>
          <w:p w14:paraId="407470F1" w14:textId="77777777" w:rsidR="00982EAC" w:rsidRPr="00982EAC" w:rsidRDefault="00982EAC" w:rsidP="00982EAC">
            <w:pPr>
              <w:pStyle w:val="Puces4"/>
              <w:rPr>
                <w:color w:val="000000" w:themeColor="text1"/>
                <w:szCs w:val="20"/>
              </w:rPr>
            </w:pPr>
            <w:r w:rsidRPr="00982EAC">
              <w:rPr>
                <w:color w:val="000000" w:themeColor="text1"/>
                <w:szCs w:val="20"/>
              </w:rPr>
              <w:t>Scrutinise external audit plans, reports, and management responses, providing informed challenge and support to strengthen audit outcomes.</w:t>
            </w:r>
          </w:p>
          <w:p w14:paraId="4E1DB0C1" w14:textId="77777777" w:rsidR="00982EAC" w:rsidRPr="00982EAC" w:rsidRDefault="00982EAC" w:rsidP="00982EAC">
            <w:pPr>
              <w:pStyle w:val="Puces4"/>
              <w:rPr>
                <w:color w:val="000000" w:themeColor="text1"/>
                <w:szCs w:val="20"/>
              </w:rPr>
            </w:pPr>
            <w:r w:rsidRPr="00982EAC">
              <w:rPr>
                <w:color w:val="000000" w:themeColor="text1"/>
                <w:szCs w:val="20"/>
              </w:rPr>
              <w:t>Oversee and contribute to the development, review, and monitoring of the Foundation’s risk registers and risk</w:t>
            </w:r>
            <w:r w:rsidRPr="00982EAC">
              <w:rPr>
                <w:rFonts w:ascii="Cambria Math" w:hAnsi="Cambria Math" w:cs="Cambria Math"/>
                <w:color w:val="000000" w:themeColor="text1"/>
                <w:szCs w:val="20"/>
              </w:rPr>
              <w:t>‑</w:t>
            </w:r>
            <w:r w:rsidRPr="00982EAC">
              <w:rPr>
                <w:color w:val="000000" w:themeColor="text1"/>
                <w:szCs w:val="20"/>
              </w:rPr>
              <w:t>mitigation actions.</w:t>
            </w:r>
          </w:p>
          <w:p w14:paraId="6412C8D5" w14:textId="77777777" w:rsidR="00982EAC" w:rsidRPr="00982EAC" w:rsidRDefault="00982EAC" w:rsidP="00982EAC">
            <w:pPr>
              <w:pStyle w:val="Puces4"/>
              <w:rPr>
                <w:color w:val="000000" w:themeColor="text1"/>
                <w:szCs w:val="20"/>
              </w:rPr>
            </w:pPr>
            <w:r w:rsidRPr="00982EAC">
              <w:rPr>
                <w:color w:val="000000" w:themeColor="text1"/>
                <w:szCs w:val="20"/>
              </w:rPr>
              <w:t>Provide independent advice and recommendations to enhance governance effectiveness and promote a strong control environment.</w:t>
            </w:r>
          </w:p>
          <w:p w14:paraId="3FAF82B9" w14:textId="77777777" w:rsidR="00982EAC" w:rsidRPr="00982EAC" w:rsidRDefault="00982EAC" w:rsidP="00982EAC">
            <w:pPr>
              <w:pStyle w:val="Puces4"/>
              <w:rPr>
                <w:color w:val="000000" w:themeColor="text1"/>
                <w:szCs w:val="20"/>
              </w:rPr>
            </w:pPr>
            <w:r w:rsidRPr="00982EAC">
              <w:rPr>
                <w:color w:val="000000" w:themeColor="text1"/>
                <w:szCs w:val="20"/>
              </w:rPr>
              <w:t>Monitor and support the implementation of agreed audit recommendations, ensuring timely follow</w:t>
            </w:r>
            <w:r w:rsidRPr="00982EAC">
              <w:rPr>
                <w:rFonts w:ascii="Cambria Math" w:hAnsi="Cambria Math" w:cs="Cambria Math"/>
                <w:color w:val="000000" w:themeColor="text1"/>
                <w:szCs w:val="20"/>
              </w:rPr>
              <w:t>‑</w:t>
            </w:r>
            <w:r w:rsidRPr="00982EAC">
              <w:rPr>
                <w:color w:val="000000" w:themeColor="text1"/>
                <w:szCs w:val="20"/>
              </w:rPr>
              <w:t>through and accountability.</w:t>
            </w:r>
          </w:p>
          <w:p w14:paraId="4B36C9E6" w14:textId="77777777" w:rsidR="00982EAC" w:rsidRPr="00982EAC" w:rsidRDefault="00982EAC" w:rsidP="00982EAC">
            <w:pPr>
              <w:pStyle w:val="Puces4"/>
              <w:rPr>
                <w:color w:val="000000" w:themeColor="text1"/>
                <w:szCs w:val="20"/>
              </w:rPr>
            </w:pPr>
            <w:r w:rsidRPr="00982EAC">
              <w:rPr>
                <w:color w:val="000000" w:themeColor="text1"/>
                <w:szCs w:val="20"/>
              </w:rPr>
              <w:t>Uphold principles of independence, objectivity, and integrity in all activities, ensuring alignment with Stop Hunger’s mission and ethical standards.</w:t>
            </w:r>
          </w:p>
          <w:p w14:paraId="0FEC5C77" w14:textId="77777777" w:rsidR="00982EAC" w:rsidRPr="00982EAC" w:rsidRDefault="00982EAC" w:rsidP="00982EAC">
            <w:pPr>
              <w:pStyle w:val="Puces4"/>
              <w:rPr>
                <w:color w:val="000000" w:themeColor="text1"/>
                <w:szCs w:val="20"/>
              </w:rPr>
            </w:pPr>
            <w:r w:rsidRPr="00982EAC">
              <w:rPr>
                <w:color w:val="000000" w:themeColor="text1"/>
                <w:szCs w:val="20"/>
              </w:rPr>
              <w:t>Attend scheduled meetings fully prepared, contributing constructively to discussions and decision</w:t>
            </w:r>
            <w:r w:rsidRPr="00982EAC">
              <w:rPr>
                <w:rFonts w:ascii="Cambria Math" w:hAnsi="Cambria Math" w:cs="Cambria Math"/>
                <w:color w:val="000000" w:themeColor="text1"/>
                <w:szCs w:val="20"/>
              </w:rPr>
              <w:t>‑</w:t>
            </w:r>
            <w:r w:rsidRPr="00982EAC">
              <w:rPr>
                <w:color w:val="000000" w:themeColor="text1"/>
                <w:szCs w:val="20"/>
              </w:rPr>
              <w:t>making.</w:t>
            </w:r>
          </w:p>
          <w:p w14:paraId="06F4AD77" w14:textId="79A407E2" w:rsidR="005160A7" w:rsidRPr="008260DB" w:rsidRDefault="00982EAC" w:rsidP="00982EAC">
            <w:pPr>
              <w:pStyle w:val="Puces4"/>
              <w:rPr>
                <w:color w:val="000000" w:themeColor="text1"/>
                <w:szCs w:val="20"/>
              </w:rPr>
            </w:pPr>
            <w:r w:rsidRPr="00982EAC">
              <w:rPr>
                <w:color w:val="000000" w:themeColor="text1"/>
                <w:szCs w:val="20"/>
              </w:rPr>
              <w:t>Participate in ad hoc consultations linked to audit and governance work as required.</w:t>
            </w: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F93211" w14:paraId="0529D246" w14:textId="77777777" w:rsidTr="00A86A37">
        <w:tc>
          <w:tcPr>
            <w:tcW w:w="10375" w:type="dxa"/>
          </w:tcPr>
          <w:p w14:paraId="66008FB0" w14:textId="77777777" w:rsidR="008260DB" w:rsidRPr="00F93211" w:rsidRDefault="008260DB" w:rsidP="00EF0A4B">
            <w:pPr>
              <w:pStyle w:val="ListParagraph"/>
              <w:ind w:left="360"/>
              <w:jc w:val="left"/>
              <w:rPr>
                <w:rFonts w:cs="Arial"/>
                <w:color w:val="000000" w:themeColor="text1"/>
                <w:szCs w:val="20"/>
              </w:rPr>
            </w:pPr>
          </w:p>
          <w:p w14:paraId="33285687" w14:textId="25090E94" w:rsidR="00756429" w:rsidRPr="00756429" w:rsidRDefault="00756429" w:rsidP="00756429">
            <w:pPr>
              <w:pStyle w:val="ListParagraph"/>
              <w:numPr>
                <w:ilvl w:val="0"/>
                <w:numId w:val="22"/>
              </w:numPr>
              <w:rPr>
                <w:rFonts w:cs="Arial"/>
                <w:color w:val="000000" w:themeColor="text1"/>
                <w:szCs w:val="20"/>
                <w:lang w:val="en-GB"/>
              </w:rPr>
            </w:pPr>
            <w:r w:rsidRPr="00756429">
              <w:rPr>
                <w:rFonts w:cs="Arial"/>
                <w:color w:val="000000" w:themeColor="text1"/>
                <w:szCs w:val="20"/>
                <w:lang w:val="en-GB"/>
              </w:rPr>
              <w:t xml:space="preserve">Operates within a regulated charity environment requiring adherence to Charity Commission expectations, financial reporting standards, and </w:t>
            </w:r>
            <w:r>
              <w:rPr>
                <w:rFonts w:cs="Arial"/>
                <w:color w:val="000000" w:themeColor="text1"/>
                <w:szCs w:val="20"/>
                <w:lang w:val="en-GB"/>
              </w:rPr>
              <w:t>Stop Hunger group</w:t>
            </w:r>
            <w:r w:rsidRPr="00756429">
              <w:rPr>
                <w:rFonts w:cs="Arial"/>
                <w:color w:val="000000" w:themeColor="text1"/>
                <w:szCs w:val="20"/>
                <w:lang w:val="en-GB"/>
              </w:rPr>
              <w:t xml:space="preserve"> governance policies</w:t>
            </w:r>
            <w:r>
              <w:rPr>
                <w:rFonts w:cs="Arial"/>
                <w:color w:val="000000" w:themeColor="text1"/>
                <w:szCs w:val="20"/>
                <w:lang w:val="en-GB"/>
              </w:rPr>
              <w:t xml:space="preserve"> (Golden Rules)</w:t>
            </w:r>
            <w:r w:rsidRPr="00756429">
              <w:rPr>
                <w:rFonts w:cs="Arial"/>
                <w:color w:val="000000" w:themeColor="text1"/>
                <w:szCs w:val="20"/>
                <w:lang w:val="en-GB"/>
              </w:rPr>
              <w:t>.</w:t>
            </w:r>
          </w:p>
          <w:p w14:paraId="2D8C4CF7" w14:textId="77777777" w:rsidR="00756429" w:rsidRPr="00756429" w:rsidRDefault="00756429" w:rsidP="00756429">
            <w:pPr>
              <w:pStyle w:val="ListParagraph"/>
              <w:numPr>
                <w:ilvl w:val="0"/>
                <w:numId w:val="22"/>
              </w:numPr>
              <w:rPr>
                <w:rFonts w:cs="Arial"/>
                <w:color w:val="000000" w:themeColor="text1"/>
                <w:szCs w:val="20"/>
                <w:lang w:val="en-GB"/>
              </w:rPr>
            </w:pPr>
            <w:r w:rsidRPr="00756429">
              <w:rPr>
                <w:rFonts w:cs="Arial"/>
                <w:color w:val="000000" w:themeColor="text1"/>
                <w:szCs w:val="20"/>
                <w:lang w:val="en-GB"/>
              </w:rPr>
              <w:t>Must analyse and interpret complex financial information, audit findings, and risk data to identify control gaps and emerging risks.</w:t>
            </w:r>
          </w:p>
          <w:p w14:paraId="7A7163FD" w14:textId="493B7453" w:rsidR="00756429" w:rsidRPr="00756429" w:rsidRDefault="00756429" w:rsidP="00756429">
            <w:pPr>
              <w:pStyle w:val="ListParagraph"/>
              <w:numPr>
                <w:ilvl w:val="0"/>
                <w:numId w:val="22"/>
              </w:numPr>
              <w:rPr>
                <w:rFonts w:cs="Arial"/>
                <w:color w:val="000000" w:themeColor="text1"/>
                <w:szCs w:val="20"/>
                <w:lang w:val="en-GB"/>
              </w:rPr>
            </w:pPr>
            <w:r w:rsidRPr="00756429">
              <w:rPr>
                <w:rFonts w:cs="Arial"/>
                <w:color w:val="000000" w:themeColor="text1"/>
                <w:szCs w:val="20"/>
                <w:lang w:val="en-GB"/>
              </w:rPr>
              <w:t>Required to provide independent challenge while maintaining constructive relationships with Trustees, auditors, and internal</w:t>
            </w:r>
            <w:r w:rsidR="00A904BE">
              <w:rPr>
                <w:rFonts w:cs="Arial"/>
                <w:color w:val="000000" w:themeColor="text1"/>
                <w:szCs w:val="20"/>
                <w:lang w:val="en-GB"/>
              </w:rPr>
              <w:t>/ external</w:t>
            </w:r>
            <w:r w:rsidRPr="00756429">
              <w:rPr>
                <w:rFonts w:cs="Arial"/>
                <w:color w:val="000000" w:themeColor="text1"/>
                <w:szCs w:val="20"/>
                <w:lang w:val="en-GB"/>
              </w:rPr>
              <w:t xml:space="preserve"> stakeholders.</w:t>
            </w:r>
          </w:p>
          <w:p w14:paraId="6B15CCF4" w14:textId="77777777" w:rsidR="00756429" w:rsidRPr="00756429" w:rsidRDefault="00756429" w:rsidP="00756429">
            <w:pPr>
              <w:pStyle w:val="ListParagraph"/>
              <w:numPr>
                <w:ilvl w:val="0"/>
                <w:numId w:val="22"/>
              </w:numPr>
              <w:rPr>
                <w:rFonts w:cs="Arial"/>
                <w:color w:val="000000" w:themeColor="text1"/>
                <w:szCs w:val="20"/>
                <w:lang w:val="en-GB"/>
              </w:rPr>
            </w:pPr>
            <w:r w:rsidRPr="00756429">
              <w:rPr>
                <w:rFonts w:cs="Arial"/>
                <w:color w:val="000000" w:themeColor="text1"/>
                <w:szCs w:val="20"/>
                <w:lang w:val="en-GB"/>
              </w:rPr>
              <w:t>Must uphold high standards of integrity, confidentiality, and discretion when handling sensitive financial or governance matters.</w:t>
            </w:r>
          </w:p>
          <w:p w14:paraId="3E64AA25" w14:textId="77777777" w:rsidR="00756429" w:rsidRPr="00756429" w:rsidRDefault="00756429" w:rsidP="00756429">
            <w:pPr>
              <w:pStyle w:val="ListParagraph"/>
              <w:numPr>
                <w:ilvl w:val="0"/>
                <w:numId w:val="22"/>
              </w:numPr>
              <w:rPr>
                <w:rFonts w:cs="Arial"/>
                <w:color w:val="000000" w:themeColor="text1"/>
                <w:szCs w:val="20"/>
                <w:lang w:val="en-GB"/>
              </w:rPr>
            </w:pPr>
            <w:r w:rsidRPr="00756429">
              <w:rPr>
                <w:rFonts w:cs="Arial"/>
                <w:color w:val="000000" w:themeColor="text1"/>
                <w:szCs w:val="20"/>
                <w:lang w:val="en-GB"/>
              </w:rPr>
              <w:t>Needs to promote and maintain a strong internal control environment within the context of a small</w:t>
            </w:r>
            <w:r w:rsidRPr="00756429">
              <w:rPr>
                <w:rFonts w:ascii="Cambria Math" w:hAnsi="Cambria Math" w:cs="Cambria Math"/>
                <w:color w:val="000000" w:themeColor="text1"/>
                <w:szCs w:val="20"/>
                <w:lang w:val="en-GB"/>
              </w:rPr>
              <w:t>‑</w:t>
            </w:r>
            <w:r w:rsidRPr="00756429">
              <w:rPr>
                <w:rFonts w:cs="Arial"/>
                <w:color w:val="000000" w:themeColor="text1"/>
                <w:szCs w:val="20"/>
                <w:lang w:val="en-GB"/>
              </w:rPr>
              <w:t>charity finance model and dual audit requirements.</w:t>
            </w:r>
          </w:p>
          <w:p w14:paraId="36E030DF" w14:textId="77777777" w:rsidR="00756429" w:rsidRPr="00756429" w:rsidRDefault="00756429" w:rsidP="00756429">
            <w:pPr>
              <w:pStyle w:val="ListParagraph"/>
              <w:numPr>
                <w:ilvl w:val="0"/>
                <w:numId w:val="22"/>
              </w:numPr>
              <w:rPr>
                <w:rFonts w:cs="Arial"/>
                <w:color w:val="000000" w:themeColor="text1"/>
                <w:szCs w:val="20"/>
                <w:lang w:val="en-GB"/>
              </w:rPr>
            </w:pPr>
            <w:r w:rsidRPr="00756429">
              <w:rPr>
                <w:rFonts w:cs="Arial"/>
                <w:color w:val="000000" w:themeColor="text1"/>
                <w:szCs w:val="20"/>
                <w:lang w:val="en-GB"/>
              </w:rPr>
              <w:t>Must ensure transparent, evidence</w:t>
            </w:r>
            <w:r w:rsidRPr="00756429">
              <w:rPr>
                <w:rFonts w:ascii="Cambria Math" w:hAnsi="Cambria Math" w:cs="Cambria Math"/>
                <w:color w:val="000000" w:themeColor="text1"/>
                <w:szCs w:val="20"/>
                <w:lang w:val="en-GB"/>
              </w:rPr>
              <w:t>‑</w:t>
            </w:r>
            <w:r w:rsidRPr="00756429">
              <w:rPr>
                <w:rFonts w:cs="Arial"/>
                <w:color w:val="000000" w:themeColor="text1"/>
                <w:szCs w:val="20"/>
                <w:lang w:val="en-GB"/>
              </w:rPr>
              <w:t>based recommendations while managing potential tensions between operational delivery and governance expectations.</w:t>
            </w:r>
          </w:p>
          <w:p w14:paraId="67355C7B" w14:textId="51BFB646" w:rsidR="000B4AA1" w:rsidRPr="00F93211" w:rsidRDefault="00756429" w:rsidP="00756429">
            <w:pPr>
              <w:pStyle w:val="ListParagraph"/>
              <w:numPr>
                <w:ilvl w:val="0"/>
                <w:numId w:val="22"/>
              </w:numPr>
              <w:jc w:val="left"/>
              <w:rPr>
                <w:rFonts w:cs="Arial"/>
                <w:color w:val="000000" w:themeColor="text1"/>
                <w:szCs w:val="20"/>
              </w:rPr>
            </w:pPr>
            <w:r w:rsidRPr="00756429">
              <w:rPr>
                <w:rFonts w:cs="Arial"/>
                <w:color w:val="000000" w:themeColor="text1"/>
                <w:szCs w:val="20"/>
                <w:lang w:val="en-GB"/>
              </w:rPr>
              <w:t>Expected to support the Board of Trustees in meeting its oversight responsibilities by providing objective, timely, and well</w:t>
            </w:r>
            <w:r w:rsidRPr="00756429">
              <w:rPr>
                <w:rFonts w:ascii="Cambria Math" w:hAnsi="Cambria Math" w:cs="Cambria Math"/>
                <w:color w:val="000000" w:themeColor="text1"/>
                <w:szCs w:val="20"/>
                <w:lang w:val="en-GB"/>
              </w:rPr>
              <w:t>‑</w:t>
            </w:r>
            <w:r w:rsidRPr="00756429">
              <w:rPr>
                <w:rFonts w:cs="Arial"/>
                <w:color w:val="000000" w:themeColor="text1"/>
                <w:szCs w:val="20"/>
                <w:lang w:val="en-GB"/>
              </w:rPr>
              <w:t>reasoned advice.</w:t>
            </w:r>
          </w:p>
        </w:tc>
      </w:tr>
    </w:tbl>
    <w:p w14:paraId="57FE33AE" w14:textId="77777777" w:rsidR="002B6B51" w:rsidRPr="00F9321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7097F3AE" w14:textId="77777777" w:rsidR="00D42667" w:rsidRPr="00C679ED" w:rsidRDefault="00D42667" w:rsidP="00D42667">
            <w:pPr>
              <w:pStyle w:val="ListParagraph"/>
              <w:ind w:left="360"/>
              <w:jc w:val="left"/>
              <w:rPr>
                <w:rFonts w:cs="Arial"/>
                <w:bCs/>
                <w:color w:val="000000" w:themeColor="text1"/>
                <w:szCs w:val="20"/>
              </w:rPr>
            </w:pPr>
          </w:p>
          <w:p w14:paraId="59D93765" w14:textId="77777777" w:rsidR="003817AF" w:rsidRDefault="003817AF" w:rsidP="003817AF">
            <w:pPr>
              <w:pStyle w:val="Puces4"/>
            </w:pPr>
            <w:r>
              <w:t>Strengthen financial governance by ensuring effective oversight of financial statements, internal controls, and compliance requirements.</w:t>
            </w:r>
          </w:p>
          <w:p w14:paraId="7D2F0996" w14:textId="77777777" w:rsidR="003817AF" w:rsidRDefault="003817AF" w:rsidP="003817AF">
            <w:pPr>
              <w:pStyle w:val="Puces4"/>
            </w:pPr>
            <w:r>
              <w:t>Enhance audit quality and transparency through rigorous scrutiny of external audit plans, findings, and management responses, ensuring actions are completed.</w:t>
            </w:r>
          </w:p>
          <w:p w14:paraId="108FAEEA" w14:textId="77777777" w:rsidR="003817AF" w:rsidRDefault="003817AF" w:rsidP="003817AF">
            <w:pPr>
              <w:pStyle w:val="Puces4"/>
            </w:pPr>
            <w:r>
              <w:t>Improve organisational risk management by contributing to the development, monitoring, and follow</w:t>
            </w:r>
            <w:r>
              <w:rPr>
                <w:rFonts w:ascii="Cambria Math" w:hAnsi="Cambria Math" w:cs="Cambria Math"/>
              </w:rPr>
              <w:t>‑</w:t>
            </w:r>
            <w:r>
              <w:t>through of the Foundation’s risk registers and mitigation plans.</w:t>
            </w:r>
          </w:p>
          <w:p w14:paraId="7335FE61" w14:textId="77777777" w:rsidR="003817AF" w:rsidRDefault="003817AF" w:rsidP="003817AF">
            <w:pPr>
              <w:pStyle w:val="Puces4"/>
            </w:pPr>
            <w:r>
              <w:t>Support robust governance by providing independent, evidence</w:t>
            </w:r>
            <w:r>
              <w:rPr>
                <w:rFonts w:ascii="Cambria Math" w:hAnsi="Cambria Math" w:cs="Cambria Math"/>
              </w:rPr>
              <w:t>‑</w:t>
            </w:r>
            <w:r>
              <w:t>based recommendations that strengthen the Foundation’s control environment and decision</w:t>
            </w:r>
            <w:r>
              <w:rPr>
                <w:rFonts w:ascii="Cambria Math" w:hAnsi="Cambria Math" w:cs="Cambria Math"/>
              </w:rPr>
              <w:t>‑</w:t>
            </w:r>
            <w:r>
              <w:t>making.</w:t>
            </w:r>
          </w:p>
          <w:p w14:paraId="0376654B" w14:textId="796CB1FE" w:rsidR="00D87CC8" w:rsidRPr="00C679ED" w:rsidRDefault="003817AF" w:rsidP="003817AF">
            <w:pPr>
              <w:pStyle w:val="Puces4"/>
              <w:rPr>
                <w:color w:val="000000" w:themeColor="text1"/>
                <w:szCs w:val="20"/>
              </w:rPr>
            </w:pPr>
            <w:r>
              <w:t>Enable effective Board oversight by delivering clear, timely written and verbal reports that inform Trustees and support accountability.</w:t>
            </w: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D42667">
        <w:trPr>
          <w:trHeight w:val="410"/>
        </w:trPr>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1A010C52" w14:textId="77777777" w:rsidR="00F77F79" w:rsidRDefault="00F77F79" w:rsidP="00F77F79">
            <w:pPr>
              <w:pStyle w:val="Puces4"/>
            </w:pPr>
            <w:r>
              <w:t>Provides independent oversight on the Foundation’s full annual financial statements and associated internal control environment.</w:t>
            </w:r>
          </w:p>
          <w:p w14:paraId="35426375" w14:textId="77777777" w:rsidR="00F77F79" w:rsidRDefault="00F77F79" w:rsidP="00F77F79">
            <w:pPr>
              <w:pStyle w:val="Puces4"/>
            </w:pPr>
            <w:r>
              <w:t>Reviews and challenges delivery of two external audit cycles per year, including audit plans, findings, and management responses.</w:t>
            </w:r>
          </w:p>
          <w:p w14:paraId="4EEE45C9" w14:textId="77777777" w:rsidR="00F77F79" w:rsidRDefault="00F77F79" w:rsidP="00F77F79">
            <w:pPr>
              <w:pStyle w:val="Puces4"/>
            </w:pPr>
            <w:r>
              <w:t>Contributes to the development and monitoring of the Foundation’s risk registers covering strategic, operational, financial, and compliance risks.</w:t>
            </w:r>
          </w:p>
          <w:p w14:paraId="25F81866" w14:textId="77777777" w:rsidR="00F77F79" w:rsidRDefault="00F77F79" w:rsidP="00F77F79">
            <w:pPr>
              <w:pStyle w:val="Puces4"/>
            </w:pPr>
            <w:r>
              <w:t>Advises the Board of Trustees, influencing governance decisions affecting the Foundation’s charitable activity, compliance, and financial integrity.</w:t>
            </w:r>
          </w:p>
          <w:p w14:paraId="0EA1C6A5" w14:textId="39CCB581" w:rsidR="0095128F" w:rsidRPr="00D87CC8" w:rsidRDefault="00F77F79" w:rsidP="00F77F79">
            <w:pPr>
              <w:pStyle w:val="Puces4"/>
              <w:rPr>
                <w:color w:val="000000" w:themeColor="text1"/>
                <w:szCs w:val="20"/>
              </w:rPr>
            </w:pPr>
            <w:r>
              <w:t>Supports the tracking and completion of audit recommendations, ensuring progress across the Foundation’s governance and risk processes.</w:t>
            </w: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D80A5D">
        <w:tc>
          <w:tcPr>
            <w:tcW w:w="10375" w:type="dxa"/>
            <w:tcBorders>
              <w:top w:val="dotted" w:sz="4" w:space="0" w:color="auto"/>
              <w:bottom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6885F57B" w14:textId="4D668C74" w:rsidR="001B1AE7" w:rsidRPr="009105FC" w:rsidRDefault="001B1AE7" w:rsidP="001B1AE7">
            <w:pPr>
              <w:spacing w:before="20" w:after="20" w:line="259" w:lineRule="auto"/>
              <w:jc w:val="left"/>
              <w:rPr>
                <w:rFonts w:cs="Arial"/>
                <w:b/>
                <w:szCs w:val="22"/>
                <w:lang w:eastAsia="en-GB"/>
              </w:rPr>
            </w:pPr>
            <w:r w:rsidRPr="009105FC">
              <w:rPr>
                <w:rFonts w:cs="Arial"/>
                <w:b/>
                <w:szCs w:val="22"/>
                <w:lang w:eastAsia="en-GB"/>
              </w:rPr>
              <w:t>Essential</w:t>
            </w:r>
          </w:p>
          <w:p w14:paraId="762756B5" w14:textId="77777777" w:rsidR="001B1AE7" w:rsidRPr="001B1AE7" w:rsidRDefault="001B1AE7" w:rsidP="001B1AE7">
            <w:pPr>
              <w:numPr>
                <w:ilvl w:val="0"/>
                <w:numId w:val="34"/>
              </w:numPr>
              <w:spacing w:before="20" w:after="20" w:line="259" w:lineRule="auto"/>
              <w:jc w:val="left"/>
              <w:rPr>
                <w:rFonts w:cs="Arial"/>
                <w:bCs/>
                <w:szCs w:val="22"/>
                <w:lang w:eastAsia="en-GB"/>
              </w:rPr>
            </w:pPr>
            <w:r w:rsidRPr="001B1AE7">
              <w:rPr>
                <w:rFonts w:cs="Arial"/>
                <w:bCs/>
                <w:szCs w:val="22"/>
                <w:lang w:eastAsia="en-GB"/>
              </w:rPr>
              <w:t>Strong financial literacy and understanding of audit processes.</w:t>
            </w:r>
          </w:p>
          <w:p w14:paraId="5E365497" w14:textId="77777777" w:rsidR="001B1AE7" w:rsidRPr="001B1AE7" w:rsidRDefault="001B1AE7" w:rsidP="001B1AE7">
            <w:pPr>
              <w:numPr>
                <w:ilvl w:val="0"/>
                <w:numId w:val="34"/>
              </w:numPr>
              <w:spacing w:before="20" w:after="20" w:line="259" w:lineRule="auto"/>
              <w:jc w:val="left"/>
              <w:rPr>
                <w:rFonts w:cs="Arial"/>
                <w:bCs/>
                <w:szCs w:val="22"/>
                <w:lang w:eastAsia="en-GB"/>
              </w:rPr>
            </w:pPr>
            <w:r w:rsidRPr="001B1AE7">
              <w:rPr>
                <w:rFonts w:cs="Arial"/>
                <w:bCs/>
                <w:szCs w:val="22"/>
                <w:lang w:eastAsia="en-GB"/>
              </w:rPr>
              <w:t>Experience in governance, finance, risk management, or controls.</w:t>
            </w:r>
          </w:p>
          <w:p w14:paraId="655801FD" w14:textId="77777777" w:rsidR="001B1AE7" w:rsidRPr="001B1AE7" w:rsidRDefault="001B1AE7" w:rsidP="001B1AE7">
            <w:pPr>
              <w:numPr>
                <w:ilvl w:val="0"/>
                <w:numId w:val="34"/>
              </w:numPr>
              <w:spacing w:before="20" w:after="20" w:line="259" w:lineRule="auto"/>
              <w:jc w:val="left"/>
              <w:rPr>
                <w:rFonts w:cs="Arial"/>
                <w:bCs/>
                <w:szCs w:val="22"/>
                <w:lang w:eastAsia="en-GB"/>
              </w:rPr>
            </w:pPr>
            <w:r w:rsidRPr="001B1AE7">
              <w:rPr>
                <w:rFonts w:cs="Arial"/>
                <w:bCs/>
                <w:szCs w:val="22"/>
                <w:lang w:eastAsia="en-GB"/>
              </w:rPr>
              <w:lastRenderedPageBreak/>
              <w:t xml:space="preserve">Ability to </w:t>
            </w:r>
            <w:proofErr w:type="spellStart"/>
            <w:r w:rsidRPr="001B1AE7">
              <w:rPr>
                <w:rFonts w:cs="Arial"/>
                <w:bCs/>
                <w:szCs w:val="22"/>
                <w:lang w:eastAsia="en-GB"/>
              </w:rPr>
              <w:t>analyse</w:t>
            </w:r>
            <w:proofErr w:type="spellEnd"/>
            <w:r w:rsidRPr="001B1AE7">
              <w:rPr>
                <w:rFonts w:cs="Arial"/>
                <w:bCs/>
                <w:szCs w:val="22"/>
                <w:lang w:eastAsia="en-GB"/>
              </w:rPr>
              <w:t xml:space="preserve"> complex information and offer independent </w:t>
            </w:r>
            <w:proofErr w:type="gramStart"/>
            <w:r w:rsidRPr="001B1AE7">
              <w:rPr>
                <w:rFonts w:cs="Arial"/>
                <w:bCs/>
                <w:szCs w:val="22"/>
                <w:lang w:eastAsia="en-GB"/>
              </w:rPr>
              <w:t>challenge</w:t>
            </w:r>
            <w:proofErr w:type="gramEnd"/>
            <w:r w:rsidRPr="001B1AE7">
              <w:rPr>
                <w:rFonts w:cs="Arial"/>
                <w:bCs/>
                <w:szCs w:val="22"/>
                <w:lang w:eastAsia="en-GB"/>
              </w:rPr>
              <w:t>.</w:t>
            </w:r>
          </w:p>
          <w:p w14:paraId="7C513EA4" w14:textId="77777777" w:rsidR="001B1AE7" w:rsidRPr="001B1AE7" w:rsidRDefault="001B1AE7" w:rsidP="001B1AE7">
            <w:pPr>
              <w:numPr>
                <w:ilvl w:val="0"/>
                <w:numId w:val="34"/>
              </w:numPr>
              <w:spacing w:before="20" w:after="20" w:line="259" w:lineRule="auto"/>
              <w:jc w:val="left"/>
              <w:rPr>
                <w:rFonts w:cs="Arial"/>
                <w:bCs/>
                <w:szCs w:val="22"/>
                <w:lang w:eastAsia="en-GB"/>
              </w:rPr>
            </w:pPr>
            <w:r w:rsidRPr="001B1AE7">
              <w:rPr>
                <w:rFonts w:cs="Arial"/>
                <w:bCs/>
                <w:szCs w:val="22"/>
                <w:lang w:eastAsia="en-GB"/>
              </w:rPr>
              <w:t>High level of integrity, confidentiality, and discretion.</w:t>
            </w:r>
          </w:p>
          <w:p w14:paraId="53DD23D2" w14:textId="77777777" w:rsidR="001B1AE7" w:rsidRPr="001B1AE7" w:rsidRDefault="001B1AE7" w:rsidP="001B1AE7">
            <w:pPr>
              <w:numPr>
                <w:ilvl w:val="0"/>
                <w:numId w:val="34"/>
              </w:numPr>
              <w:spacing w:before="20" w:after="20" w:line="259" w:lineRule="auto"/>
              <w:jc w:val="left"/>
              <w:rPr>
                <w:rFonts w:cs="Arial"/>
                <w:bCs/>
                <w:szCs w:val="22"/>
                <w:lang w:eastAsia="en-GB"/>
              </w:rPr>
            </w:pPr>
            <w:r w:rsidRPr="001B1AE7">
              <w:rPr>
                <w:rFonts w:cs="Arial"/>
                <w:bCs/>
                <w:szCs w:val="22"/>
                <w:lang w:eastAsia="en-GB"/>
              </w:rPr>
              <w:t>Commitment to Stop Hunger’s mission and values.</w:t>
            </w:r>
          </w:p>
          <w:p w14:paraId="65B40E12" w14:textId="77777777" w:rsidR="001B1AE7" w:rsidRPr="009105FC" w:rsidRDefault="001B1AE7" w:rsidP="009105FC">
            <w:pPr>
              <w:spacing w:before="20" w:after="20" w:line="259" w:lineRule="auto"/>
              <w:jc w:val="left"/>
              <w:rPr>
                <w:rFonts w:cs="Arial"/>
                <w:b/>
                <w:szCs w:val="22"/>
                <w:lang w:eastAsia="en-GB"/>
              </w:rPr>
            </w:pPr>
            <w:r w:rsidRPr="009105FC">
              <w:rPr>
                <w:rFonts w:cs="Arial"/>
                <w:b/>
                <w:szCs w:val="22"/>
                <w:lang w:eastAsia="en-GB"/>
              </w:rPr>
              <w:t>Desirable</w:t>
            </w:r>
          </w:p>
          <w:p w14:paraId="478CC020" w14:textId="77777777" w:rsidR="001B1AE7" w:rsidRPr="001B1AE7" w:rsidRDefault="001B1AE7" w:rsidP="001B1AE7">
            <w:pPr>
              <w:numPr>
                <w:ilvl w:val="0"/>
                <w:numId w:val="34"/>
              </w:numPr>
              <w:spacing w:before="20" w:after="20" w:line="259" w:lineRule="auto"/>
              <w:jc w:val="left"/>
              <w:rPr>
                <w:rFonts w:cs="Arial"/>
                <w:bCs/>
                <w:szCs w:val="22"/>
                <w:lang w:eastAsia="en-GB"/>
              </w:rPr>
            </w:pPr>
            <w:r w:rsidRPr="001B1AE7">
              <w:rPr>
                <w:rFonts w:cs="Arial"/>
                <w:bCs/>
                <w:szCs w:val="22"/>
                <w:lang w:eastAsia="en-GB"/>
              </w:rPr>
              <w:t>Charity Commission or not for profit regulatory experience.</w:t>
            </w:r>
          </w:p>
          <w:p w14:paraId="7DB36190" w14:textId="77777777" w:rsidR="001B1AE7" w:rsidRPr="001B1AE7" w:rsidRDefault="001B1AE7" w:rsidP="001B1AE7">
            <w:pPr>
              <w:numPr>
                <w:ilvl w:val="0"/>
                <w:numId w:val="34"/>
              </w:numPr>
              <w:spacing w:before="20" w:after="20" w:line="259" w:lineRule="auto"/>
              <w:jc w:val="left"/>
              <w:rPr>
                <w:rFonts w:cs="Arial"/>
                <w:bCs/>
                <w:szCs w:val="22"/>
                <w:lang w:eastAsia="en-GB"/>
              </w:rPr>
            </w:pPr>
            <w:r w:rsidRPr="001B1AE7">
              <w:rPr>
                <w:rFonts w:cs="Arial"/>
                <w:bCs/>
                <w:szCs w:val="22"/>
                <w:lang w:eastAsia="en-GB"/>
              </w:rPr>
              <w:t>Experience with dual audit environments or small charity finance models.</w:t>
            </w:r>
          </w:p>
          <w:p w14:paraId="35FEBE09" w14:textId="77777777" w:rsidR="0095128F" w:rsidRPr="00A824A9" w:rsidRDefault="0095128F" w:rsidP="00862E4F">
            <w:pPr>
              <w:rPr>
                <w:rFonts w:cs="Arial"/>
                <w:color w:val="000000" w:themeColor="text1"/>
                <w:szCs w:val="20"/>
              </w:rPr>
            </w:pPr>
          </w:p>
        </w:tc>
      </w:tr>
      <w:tr w:rsidR="00D80A5D" w:rsidRPr="00A824A9" w14:paraId="56B10C2F" w14:textId="77777777" w:rsidTr="00862E4F">
        <w:tc>
          <w:tcPr>
            <w:tcW w:w="10375" w:type="dxa"/>
            <w:tcBorders>
              <w:top w:val="dotted" w:sz="4" w:space="0" w:color="auto"/>
            </w:tcBorders>
          </w:tcPr>
          <w:p w14:paraId="0288D71C" w14:textId="77777777" w:rsidR="00D80A5D" w:rsidRDefault="00D80A5D" w:rsidP="00862E4F">
            <w:pPr>
              <w:spacing w:before="40" w:after="40"/>
              <w:jc w:val="left"/>
              <w:rPr>
                <w:rFonts w:cs="Arial"/>
                <w:b/>
                <w:color w:val="000000" w:themeColor="text1"/>
                <w:szCs w:val="20"/>
                <w:shd w:val="clear" w:color="auto" w:fill="F2F2F2"/>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862E4F">
        <w:tc>
          <w:tcPr>
            <w:tcW w:w="10375" w:type="dxa"/>
            <w:tcBorders>
              <w:top w:val="dotted" w:sz="4" w:space="0" w:color="auto"/>
              <w:left w:val="single" w:sz="2" w:space="0" w:color="auto"/>
              <w:bottom w:val="single" w:sz="4" w:space="0" w:color="auto"/>
              <w:right w:val="single" w:sz="4" w:space="0" w:color="auto"/>
            </w:tcBorders>
          </w:tcPr>
          <w:p w14:paraId="732664BA" w14:textId="7597B380" w:rsidR="000B4AA1" w:rsidRDefault="000B4AA1" w:rsidP="00DB2C8A">
            <w:pPr>
              <w:pStyle w:val="ListParagraph"/>
              <w:ind w:left="360"/>
              <w:jc w:val="left"/>
              <w:rPr>
                <w:rFonts w:cs="Arial"/>
                <w:color w:val="000000" w:themeColor="text1"/>
                <w:szCs w:val="20"/>
              </w:rPr>
            </w:pPr>
          </w:p>
          <w:p w14:paraId="191F1442" w14:textId="65365315" w:rsidR="006D5785" w:rsidRPr="006D5785" w:rsidRDefault="006D5785" w:rsidP="006D5785">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2DBFD2B1" w:rsidR="0023185C" w:rsidRPr="00DB2C8A" w:rsidRDefault="0023185C" w:rsidP="00DB2C8A">
            <w:p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D2413AD"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009105FC">
        <w:rPr>
          <w:rFonts w:cs="Arial"/>
          <w:color w:val="002060"/>
          <w:szCs w:val="20"/>
        </w:rPr>
        <w:t>27</w:t>
      </w:r>
      <w:r w:rsidR="0067224C">
        <w:rPr>
          <w:rFonts w:cs="Arial"/>
          <w:color w:val="002060"/>
          <w:szCs w:val="20"/>
        </w:rPr>
        <w:t>/0</w:t>
      </w:r>
      <w:r w:rsidR="009105FC">
        <w:rPr>
          <w:rFonts w:cs="Arial"/>
          <w:color w:val="002060"/>
          <w:szCs w:val="20"/>
        </w:rPr>
        <w:t>2</w:t>
      </w:r>
      <w:r w:rsidR="0067224C">
        <w:rPr>
          <w:rFonts w:cs="Arial"/>
          <w:color w:val="002060"/>
          <w:szCs w:val="20"/>
        </w:rPr>
        <w:t>/202</w:t>
      </w:r>
      <w:r w:rsidR="009105FC">
        <w:rPr>
          <w:rFonts w:cs="Arial"/>
          <w:color w:val="002060"/>
          <w:szCs w:val="20"/>
        </w:rPr>
        <w:t>6</w:t>
      </w:r>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03B9BB84" w14:textId="5E415BAC"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r>
      <w:r w:rsidR="00556C5C" w:rsidRPr="00556C5C">
        <w:rPr>
          <w:rFonts w:cs="Arial"/>
          <w:color w:val="002060"/>
          <w:szCs w:val="20"/>
        </w:rPr>
        <w:t>Stop Hunger Board of Trustees</w:t>
      </w:r>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2"/>
      <w:footerReference w:type="default" r:id="rId13"/>
      <w:footerReference w:type="first" r:id="rId14"/>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72A61" w14:textId="77777777" w:rsidR="005C752A" w:rsidRDefault="005C752A">
      <w:r>
        <w:separator/>
      </w:r>
    </w:p>
  </w:endnote>
  <w:endnote w:type="continuationSeparator" w:id="0">
    <w:p w14:paraId="1118AF34" w14:textId="77777777" w:rsidR="005C752A" w:rsidRDefault="005C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488A4" w14:textId="77777777" w:rsidR="005C752A" w:rsidRDefault="005C752A">
      <w:r>
        <w:separator/>
      </w:r>
    </w:p>
  </w:footnote>
  <w:footnote w:type="continuationSeparator" w:id="0">
    <w:p w14:paraId="69149CE8" w14:textId="77777777" w:rsidR="005C752A" w:rsidRDefault="005C7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9.5pt;visibility:visible;mso-wrap-style:square" o:bullet="t">
        <v:imagedata r:id="rId1" o:title=""/>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DD6CC7"/>
    <w:multiLevelType w:val="multilevel"/>
    <w:tmpl w:val="D6DEB3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9E121A6"/>
    <w:multiLevelType w:val="hybridMultilevel"/>
    <w:tmpl w:val="3B34A37C"/>
    <w:lvl w:ilvl="0" w:tplc="5F4A082C">
      <w:start w:val="1"/>
      <w:numFmt w:val="bullet"/>
      <w:lvlText w:val="•"/>
      <w:lvlJc w:val="left"/>
      <w:pPr>
        <w:tabs>
          <w:tab w:val="num" w:pos="720"/>
        </w:tabs>
        <w:ind w:left="720" w:hanging="360"/>
      </w:pPr>
      <w:rPr>
        <w:rFonts w:ascii="Arial" w:hAnsi="Arial" w:hint="default"/>
      </w:rPr>
    </w:lvl>
    <w:lvl w:ilvl="1" w:tplc="FBB62CBC" w:tentative="1">
      <w:start w:val="1"/>
      <w:numFmt w:val="bullet"/>
      <w:lvlText w:val="•"/>
      <w:lvlJc w:val="left"/>
      <w:pPr>
        <w:tabs>
          <w:tab w:val="num" w:pos="1440"/>
        </w:tabs>
        <w:ind w:left="1440" w:hanging="360"/>
      </w:pPr>
      <w:rPr>
        <w:rFonts w:ascii="Arial" w:hAnsi="Arial" w:hint="default"/>
      </w:rPr>
    </w:lvl>
    <w:lvl w:ilvl="2" w:tplc="71E28AA4" w:tentative="1">
      <w:start w:val="1"/>
      <w:numFmt w:val="bullet"/>
      <w:lvlText w:val="•"/>
      <w:lvlJc w:val="left"/>
      <w:pPr>
        <w:tabs>
          <w:tab w:val="num" w:pos="2160"/>
        </w:tabs>
        <w:ind w:left="2160" w:hanging="360"/>
      </w:pPr>
      <w:rPr>
        <w:rFonts w:ascii="Arial" w:hAnsi="Arial" w:hint="default"/>
      </w:rPr>
    </w:lvl>
    <w:lvl w:ilvl="3" w:tplc="2D8CD4A0" w:tentative="1">
      <w:start w:val="1"/>
      <w:numFmt w:val="bullet"/>
      <w:lvlText w:val="•"/>
      <w:lvlJc w:val="left"/>
      <w:pPr>
        <w:tabs>
          <w:tab w:val="num" w:pos="2880"/>
        </w:tabs>
        <w:ind w:left="2880" w:hanging="360"/>
      </w:pPr>
      <w:rPr>
        <w:rFonts w:ascii="Arial" w:hAnsi="Arial" w:hint="default"/>
      </w:rPr>
    </w:lvl>
    <w:lvl w:ilvl="4" w:tplc="860E4E7E" w:tentative="1">
      <w:start w:val="1"/>
      <w:numFmt w:val="bullet"/>
      <w:lvlText w:val="•"/>
      <w:lvlJc w:val="left"/>
      <w:pPr>
        <w:tabs>
          <w:tab w:val="num" w:pos="3600"/>
        </w:tabs>
        <w:ind w:left="3600" w:hanging="360"/>
      </w:pPr>
      <w:rPr>
        <w:rFonts w:ascii="Arial" w:hAnsi="Arial" w:hint="default"/>
      </w:rPr>
    </w:lvl>
    <w:lvl w:ilvl="5" w:tplc="91141CE0" w:tentative="1">
      <w:start w:val="1"/>
      <w:numFmt w:val="bullet"/>
      <w:lvlText w:val="•"/>
      <w:lvlJc w:val="left"/>
      <w:pPr>
        <w:tabs>
          <w:tab w:val="num" w:pos="4320"/>
        </w:tabs>
        <w:ind w:left="4320" w:hanging="360"/>
      </w:pPr>
      <w:rPr>
        <w:rFonts w:ascii="Arial" w:hAnsi="Arial" w:hint="default"/>
      </w:rPr>
    </w:lvl>
    <w:lvl w:ilvl="6" w:tplc="16E6F574" w:tentative="1">
      <w:start w:val="1"/>
      <w:numFmt w:val="bullet"/>
      <w:lvlText w:val="•"/>
      <w:lvlJc w:val="left"/>
      <w:pPr>
        <w:tabs>
          <w:tab w:val="num" w:pos="5040"/>
        </w:tabs>
        <w:ind w:left="5040" w:hanging="360"/>
      </w:pPr>
      <w:rPr>
        <w:rFonts w:ascii="Arial" w:hAnsi="Arial" w:hint="default"/>
      </w:rPr>
    </w:lvl>
    <w:lvl w:ilvl="7" w:tplc="0F625EB8" w:tentative="1">
      <w:start w:val="1"/>
      <w:numFmt w:val="bullet"/>
      <w:lvlText w:val="•"/>
      <w:lvlJc w:val="left"/>
      <w:pPr>
        <w:tabs>
          <w:tab w:val="num" w:pos="5760"/>
        </w:tabs>
        <w:ind w:left="5760" w:hanging="360"/>
      </w:pPr>
      <w:rPr>
        <w:rFonts w:ascii="Arial" w:hAnsi="Arial" w:hint="default"/>
      </w:rPr>
    </w:lvl>
    <w:lvl w:ilvl="8" w:tplc="39DE4F4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1"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6"/>
  </w:num>
  <w:num w:numId="2" w16cid:durableId="622349277">
    <w:abstractNumId w:val="33"/>
  </w:num>
  <w:num w:numId="3" w16cid:durableId="550311602">
    <w:abstractNumId w:val="30"/>
  </w:num>
  <w:num w:numId="4" w16cid:durableId="1442384864">
    <w:abstractNumId w:val="8"/>
  </w:num>
  <w:num w:numId="5" w16cid:durableId="858856169">
    <w:abstractNumId w:val="11"/>
  </w:num>
  <w:num w:numId="6" w16cid:durableId="1778941285">
    <w:abstractNumId w:val="21"/>
  </w:num>
  <w:num w:numId="7" w16cid:durableId="1670985634">
    <w:abstractNumId w:val="32"/>
  </w:num>
  <w:num w:numId="8" w16cid:durableId="1465075794">
    <w:abstractNumId w:val="12"/>
  </w:num>
  <w:num w:numId="9" w16cid:durableId="1120950928">
    <w:abstractNumId w:val="22"/>
  </w:num>
  <w:num w:numId="10" w16cid:durableId="1867672630">
    <w:abstractNumId w:val="28"/>
  </w:num>
  <w:num w:numId="11" w16cid:durableId="1292441941">
    <w:abstractNumId w:val="15"/>
  </w:num>
  <w:num w:numId="12" w16cid:durableId="535775843">
    <w:abstractNumId w:val="25"/>
  </w:num>
  <w:num w:numId="13" w16cid:durableId="882788155">
    <w:abstractNumId w:val="34"/>
  </w:num>
  <w:num w:numId="14" w16cid:durableId="1976452099">
    <w:abstractNumId w:val="31"/>
  </w:num>
  <w:num w:numId="15" w16cid:durableId="1792629629">
    <w:abstractNumId w:val="35"/>
  </w:num>
  <w:num w:numId="16" w16cid:durableId="1600018535">
    <w:abstractNumId w:val="9"/>
  </w:num>
  <w:num w:numId="17" w16cid:durableId="1774787898">
    <w:abstractNumId w:val="13"/>
  </w:num>
  <w:num w:numId="18" w16cid:durableId="1104881660">
    <w:abstractNumId w:val="18"/>
  </w:num>
  <w:num w:numId="19" w16cid:durableId="92632144">
    <w:abstractNumId w:val="24"/>
  </w:num>
  <w:num w:numId="20" w16cid:durableId="2108039559">
    <w:abstractNumId w:val="19"/>
  </w:num>
  <w:num w:numId="21" w16cid:durableId="641354061">
    <w:abstractNumId w:val="17"/>
  </w:num>
  <w:num w:numId="22" w16cid:durableId="1322194723">
    <w:abstractNumId w:val="14"/>
  </w:num>
  <w:num w:numId="23" w16cid:durableId="1470393616">
    <w:abstractNumId w:val="20"/>
  </w:num>
  <w:num w:numId="24" w16cid:durableId="581110854">
    <w:abstractNumId w:val="7"/>
  </w:num>
  <w:num w:numId="25" w16cid:durableId="1364792100">
    <w:abstractNumId w:val="3"/>
  </w:num>
  <w:num w:numId="26" w16cid:durableId="286935695">
    <w:abstractNumId w:val="10"/>
  </w:num>
  <w:num w:numId="27" w16cid:durableId="2141067581">
    <w:abstractNumId w:val="5"/>
  </w:num>
  <w:num w:numId="28" w16cid:durableId="1629048879">
    <w:abstractNumId w:val="23"/>
  </w:num>
  <w:num w:numId="29" w16cid:durableId="16544730">
    <w:abstractNumId w:val="2"/>
  </w:num>
  <w:num w:numId="30" w16cid:durableId="834733564">
    <w:abstractNumId w:val="0"/>
  </w:num>
  <w:num w:numId="31" w16cid:durableId="794910256">
    <w:abstractNumId w:val="27"/>
  </w:num>
  <w:num w:numId="32" w16cid:durableId="2069304427">
    <w:abstractNumId w:val="26"/>
  </w:num>
  <w:num w:numId="33" w16cid:durableId="1488740681">
    <w:abstractNumId w:val="1"/>
  </w:num>
  <w:num w:numId="34" w16cid:durableId="709652632">
    <w:abstractNumId w:val="4"/>
  </w:num>
  <w:num w:numId="35" w16cid:durableId="1975674701">
    <w:abstractNumId w:val="29"/>
  </w:num>
  <w:num w:numId="36" w16cid:durableId="7921407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3AB"/>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692"/>
    <w:rsid w:val="001168B4"/>
    <w:rsid w:val="0011779E"/>
    <w:rsid w:val="0012110D"/>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565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1AE7"/>
    <w:rsid w:val="001B5826"/>
    <w:rsid w:val="001B6104"/>
    <w:rsid w:val="001C0932"/>
    <w:rsid w:val="001C167E"/>
    <w:rsid w:val="001C21B9"/>
    <w:rsid w:val="001C437E"/>
    <w:rsid w:val="001C44E8"/>
    <w:rsid w:val="001C6D4D"/>
    <w:rsid w:val="001D25EB"/>
    <w:rsid w:val="001D334B"/>
    <w:rsid w:val="001D44A8"/>
    <w:rsid w:val="001D640E"/>
    <w:rsid w:val="001D697E"/>
    <w:rsid w:val="001D761F"/>
    <w:rsid w:val="001D7B0E"/>
    <w:rsid w:val="001D7BE9"/>
    <w:rsid w:val="001E00C3"/>
    <w:rsid w:val="001E177D"/>
    <w:rsid w:val="001E3329"/>
    <w:rsid w:val="001E3504"/>
    <w:rsid w:val="001E3B5E"/>
    <w:rsid w:val="001E5E28"/>
    <w:rsid w:val="001E6880"/>
    <w:rsid w:val="001F054B"/>
    <w:rsid w:val="001F10BB"/>
    <w:rsid w:val="001F18BC"/>
    <w:rsid w:val="001F221A"/>
    <w:rsid w:val="001F3471"/>
    <w:rsid w:val="001F3513"/>
    <w:rsid w:val="00200793"/>
    <w:rsid w:val="00200825"/>
    <w:rsid w:val="00200900"/>
    <w:rsid w:val="00201566"/>
    <w:rsid w:val="00201D2E"/>
    <w:rsid w:val="0020269F"/>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3028"/>
    <w:rsid w:val="002469C0"/>
    <w:rsid w:val="00247F5A"/>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2908"/>
    <w:rsid w:val="00323358"/>
    <w:rsid w:val="00327DD2"/>
    <w:rsid w:val="00330197"/>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17AF"/>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0B82"/>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068FD"/>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261"/>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60A7"/>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6C5C"/>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C752A"/>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224C"/>
    <w:rsid w:val="00673B99"/>
    <w:rsid w:val="0067414E"/>
    <w:rsid w:val="0067465B"/>
    <w:rsid w:val="00675A34"/>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104C"/>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429"/>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31F4"/>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179FB"/>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05FC"/>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1BE3"/>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202E"/>
    <w:rsid w:val="00966BD1"/>
    <w:rsid w:val="00967909"/>
    <w:rsid w:val="00970344"/>
    <w:rsid w:val="009723AF"/>
    <w:rsid w:val="009741BD"/>
    <w:rsid w:val="00975088"/>
    <w:rsid w:val="00975DC8"/>
    <w:rsid w:val="00976781"/>
    <w:rsid w:val="00982A54"/>
    <w:rsid w:val="00982DA4"/>
    <w:rsid w:val="00982EAC"/>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4B94"/>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48ED"/>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04BE"/>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217"/>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2B9"/>
    <w:rsid w:val="00B827A6"/>
    <w:rsid w:val="00B82BF1"/>
    <w:rsid w:val="00B83929"/>
    <w:rsid w:val="00B83947"/>
    <w:rsid w:val="00B83C9F"/>
    <w:rsid w:val="00B8481E"/>
    <w:rsid w:val="00B84CE5"/>
    <w:rsid w:val="00B90449"/>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3059"/>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1A6E"/>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7FA"/>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9ED"/>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2BF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667"/>
    <w:rsid w:val="00D42D2F"/>
    <w:rsid w:val="00D43039"/>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0A5D"/>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2C8A"/>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280"/>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3FD3"/>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E81"/>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4EB2"/>
    <w:rsid w:val="00F2605C"/>
    <w:rsid w:val="00F2787B"/>
    <w:rsid w:val="00F30D48"/>
    <w:rsid w:val="00F33D4D"/>
    <w:rsid w:val="00F34F4D"/>
    <w:rsid w:val="00F36C40"/>
    <w:rsid w:val="00F409E2"/>
    <w:rsid w:val="00F42445"/>
    <w:rsid w:val="00F43EB4"/>
    <w:rsid w:val="00F4466D"/>
    <w:rsid w:val="00F466BB"/>
    <w:rsid w:val="00F506CC"/>
    <w:rsid w:val="00F513F5"/>
    <w:rsid w:val="00F5223B"/>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77F79"/>
    <w:rsid w:val="00F8019D"/>
    <w:rsid w:val="00F80E8E"/>
    <w:rsid w:val="00F82E54"/>
    <w:rsid w:val="00F83343"/>
    <w:rsid w:val="00F837D2"/>
    <w:rsid w:val="00F8514B"/>
    <w:rsid w:val="00F85ED6"/>
    <w:rsid w:val="00F913E8"/>
    <w:rsid w:val="00F91410"/>
    <w:rsid w:val="00F91890"/>
    <w:rsid w:val="00F91E07"/>
    <w:rsid w:val="00F92B16"/>
    <w:rsid w:val="00F92DD6"/>
    <w:rsid w:val="00F93211"/>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qFormat/>
    <w:rsid w:val="00D42667"/>
    <w:pPr>
      <w:numPr>
        <w:numId w:val="33"/>
      </w:numPr>
      <w:spacing w:before="20" w:after="20"/>
    </w:pPr>
    <w:rPr>
      <w:rFonts w:eastAsia="MS Mincho" w:cs="Arial"/>
      <w:bCs/>
      <w:color w:val="000000"/>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559442976">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044715717">
      <w:bodyDiv w:val="1"/>
      <w:marLeft w:val="0"/>
      <w:marRight w:val="0"/>
      <w:marTop w:val="0"/>
      <w:marBottom w:val="0"/>
      <w:divBdr>
        <w:top w:val="none" w:sz="0" w:space="0" w:color="auto"/>
        <w:left w:val="none" w:sz="0" w:space="0" w:color="auto"/>
        <w:bottom w:val="none" w:sz="0" w:space="0" w:color="auto"/>
        <w:right w:val="none" w:sz="0" w:space="0" w:color="auto"/>
      </w:divBdr>
      <w:divsChild>
        <w:div w:id="210239944">
          <w:marLeft w:val="720"/>
          <w:marRight w:val="0"/>
          <w:marTop w:val="120"/>
          <w:marBottom w:val="120"/>
          <w:divBdr>
            <w:top w:val="none" w:sz="0" w:space="0" w:color="auto"/>
            <w:left w:val="none" w:sz="0" w:space="0" w:color="auto"/>
            <w:bottom w:val="none" w:sz="0" w:space="0" w:color="auto"/>
            <w:right w:val="none" w:sz="0" w:space="0" w:color="auto"/>
          </w:divBdr>
        </w:div>
        <w:div w:id="336080183">
          <w:marLeft w:val="720"/>
          <w:marRight w:val="0"/>
          <w:marTop w:val="120"/>
          <w:marBottom w:val="120"/>
          <w:divBdr>
            <w:top w:val="none" w:sz="0" w:space="0" w:color="auto"/>
            <w:left w:val="none" w:sz="0" w:space="0" w:color="auto"/>
            <w:bottom w:val="none" w:sz="0" w:space="0" w:color="auto"/>
            <w:right w:val="none" w:sz="0" w:space="0" w:color="auto"/>
          </w:divBdr>
        </w:div>
        <w:div w:id="1467510603">
          <w:marLeft w:val="720"/>
          <w:marRight w:val="0"/>
          <w:marTop w:val="120"/>
          <w:marBottom w:val="12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2.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4.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4971</Characters>
  <Application>Microsoft Office Word</Application>
  <DocSecurity>0</DocSecurity>
  <Lines>41</Lines>
  <Paragraphs>11</Paragraphs>
  <ScaleCrop>false</ScaleCrop>
  <HeadingPairs>
    <vt:vector size="8" baseType="variant">
      <vt:variant>
        <vt:lpstr>Titre</vt:lpstr>
      </vt:variant>
      <vt:variant>
        <vt:i4>1</vt:i4>
      </vt:variant>
      <vt:variant>
        <vt:lpstr>Title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Ungureanu, Roberta</cp:lastModifiedBy>
  <cp:revision>2</cp:revision>
  <cp:lastPrinted>2014-08-21T13:59:00Z</cp:lastPrinted>
  <dcterms:created xsi:type="dcterms:W3CDTF">2026-05-26T08:42:00Z</dcterms:created>
  <dcterms:modified xsi:type="dcterms:W3CDTF">2026-05-26T08:42:00Z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