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EF71E1">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25C83">
                              <w:rPr>
                                <w:color w:val="FFFFFF"/>
                                <w:sz w:val="44"/>
                                <w:szCs w:val="44"/>
                                <w:lang w:val="en-AU"/>
                              </w:rPr>
                              <w:t xml:space="preserve">HR Business Partner – </w:t>
                            </w:r>
                            <w:r w:rsidR="00EE42AB">
                              <w:rPr>
                                <w:color w:val="FFFFFF"/>
                                <w:sz w:val="44"/>
                                <w:szCs w:val="44"/>
                                <w:lang w:val="en-AU"/>
                              </w:rPr>
                              <w:t>Cyprus</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E25C83">
                        <w:rPr>
                          <w:color w:val="FFFFFF"/>
                          <w:sz w:val="44"/>
                          <w:szCs w:val="44"/>
                          <w:lang w:val="en-AU"/>
                        </w:rPr>
                        <w:t xml:space="preserve">HR Business Partner – </w:t>
                      </w:r>
                      <w:r w:rsidR="00EE42AB">
                        <w:rPr>
                          <w:color w:val="FFFFFF"/>
                          <w:sz w:val="44"/>
                          <w:szCs w:val="44"/>
                          <w:lang w:val="en-AU"/>
                        </w:rPr>
                        <w:t>Cyprus</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rsidR="00366A73" w:rsidRPr="007B1AAE" w:rsidRDefault="007B1AAE" w:rsidP="00161F93">
            <w:pPr>
              <w:spacing w:before="20" w:after="20"/>
              <w:jc w:val="left"/>
              <w:rPr>
                <w:rFonts w:cs="Arial"/>
                <w:b/>
                <w:color w:val="000000"/>
                <w:szCs w:val="20"/>
              </w:rPr>
            </w:pPr>
            <w:r w:rsidRPr="007B1AAE">
              <w:rPr>
                <w:rFonts w:cs="Arial"/>
                <w:b/>
                <w:color w:val="000000"/>
                <w:szCs w:val="20"/>
              </w:rPr>
              <w:t>HR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E25C83" w:rsidP="00161F93">
            <w:pPr>
              <w:pStyle w:val="Heading2"/>
              <w:rPr>
                <w:lang w:val="en-CA"/>
              </w:rPr>
            </w:pPr>
            <w:r>
              <w:rPr>
                <w:lang w:val="en-CA"/>
              </w:rPr>
              <w:t>HR Busin</w:t>
            </w:r>
            <w:r w:rsidR="00EE42AB">
              <w:rPr>
                <w:lang w:val="en-CA"/>
              </w:rPr>
              <w:t>ess Partner – Sodexo (Cyprus) Ltd</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EE42AB" w:rsidP="00161F93">
            <w:pPr>
              <w:spacing w:before="20" w:after="20"/>
              <w:jc w:val="left"/>
              <w:rPr>
                <w:rFonts w:cs="Arial"/>
                <w:color w:val="000000"/>
                <w:szCs w:val="20"/>
              </w:rPr>
            </w:pPr>
            <w:r>
              <w:rPr>
                <w:rFonts w:cs="Arial"/>
                <w:color w:val="000000"/>
                <w:szCs w:val="20"/>
              </w:rPr>
              <w:t>Rachel Evans</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EE42AB" w:rsidP="00161F93">
            <w:pPr>
              <w:spacing w:before="20" w:after="20"/>
              <w:jc w:val="left"/>
              <w:rPr>
                <w:rFonts w:cs="Arial"/>
                <w:color w:val="000000"/>
                <w:szCs w:val="20"/>
              </w:rPr>
            </w:pPr>
            <w:r>
              <w:rPr>
                <w:rFonts w:cs="Arial"/>
                <w:color w:val="000000"/>
                <w:szCs w:val="20"/>
              </w:rPr>
              <w:t>1 April 2014</w:t>
            </w: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EE42AB" w:rsidP="00366A73">
            <w:pPr>
              <w:spacing w:before="20" w:after="20"/>
              <w:jc w:val="left"/>
              <w:rPr>
                <w:rFonts w:cs="Arial"/>
                <w:color w:val="000000"/>
                <w:szCs w:val="20"/>
              </w:rPr>
            </w:pPr>
            <w:r>
              <w:rPr>
                <w:rFonts w:cs="Arial"/>
                <w:b/>
                <w:color w:val="000000"/>
                <w:szCs w:val="20"/>
              </w:rPr>
              <w:t>Rachel James</w:t>
            </w:r>
            <w:r w:rsidR="00AB2A0C" w:rsidRPr="00AB2A0C">
              <w:rPr>
                <w:rFonts w:cs="Arial"/>
                <w:b/>
                <w:color w:val="000000"/>
                <w:szCs w:val="20"/>
              </w:rPr>
              <w:t xml:space="preserve">,  HR </w:t>
            </w:r>
            <w:r>
              <w:rPr>
                <w:rFonts w:cs="Arial"/>
                <w:b/>
                <w:color w:val="000000"/>
                <w:szCs w:val="20"/>
              </w:rPr>
              <w:t>Director Defence &amp; Government Agencies</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4A5FEC" w:rsidP="00366A73">
            <w:pPr>
              <w:spacing w:before="20" w:after="20"/>
              <w:jc w:val="left"/>
              <w:rPr>
                <w:rFonts w:cs="Arial"/>
                <w:color w:val="000000"/>
                <w:szCs w:val="20"/>
              </w:rPr>
            </w:pPr>
            <w:r>
              <w:rPr>
                <w:rFonts w:cs="Arial"/>
                <w:color w:val="000000"/>
                <w:szCs w:val="20"/>
              </w:rPr>
              <w:t xml:space="preserve">N/A </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EE42AB" w:rsidP="00161F93">
            <w:pPr>
              <w:spacing w:before="20" w:after="20"/>
              <w:jc w:val="left"/>
              <w:rPr>
                <w:rFonts w:cs="Arial"/>
                <w:color w:val="000000"/>
                <w:szCs w:val="20"/>
              </w:rPr>
            </w:pPr>
            <w:r>
              <w:rPr>
                <w:rFonts w:cs="Arial"/>
                <w:color w:val="000000"/>
                <w:szCs w:val="20"/>
              </w:rPr>
              <w:t xml:space="preserve">RAF </w:t>
            </w:r>
            <w:proofErr w:type="spellStart"/>
            <w:r>
              <w:rPr>
                <w:rFonts w:cs="Arial"/>
                <w:color w:val="000000"/>
                <w:szCs w:val="20"/>
              </w:rPr>
              <w:t>Akrotiri</w:t>
            </w:r>
            <w:proofErr w:type="spellEnd"/>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AB2A0C" w:rsidRPr="00AB2A0C" w:rsidRDefault="00AB2A0C" w:rsidP="00F479E6">
            <w:pPr>
              <w:pStyle w:val="Puces4"/>
              <w:numPr>
                <w:ilvl w:val="0"/>
                <w:numId w:val="2"/>
              </w:numPr>
              <w:rPr>
                <w:color w:val="000000" w:themeColor="text1"/>
              </w:rPr>
            </w:pPr>
            <w:r>
              <w:rPr>
                <w:rFonts w:cs="Calibri"/>
                <w:sz w:val="18"/>
                <w:szCs w:val="18"/>
              </w:rPr>
              <w:t>P</w:t>
            </w:r>
            <w:r w:rsidRPr="00561997">
              <w:rPr>
                <w:rFonts w:cs="Calibri"/>
                <w:sz w:val="18"/>
                <w:szCs w:val="18"/>
              </w:rPr>
              <w:t>artner with the business leaders to drive and deliver HR solutions</w:t>
            </w:r>
          </w:p>
          <w:p w:rsidR="00AB2A0C" w:rsidRPr="00AB2A0C" w:rsidRDefault="00AB2A0C" w:rsidP="00F479E6">
            <w:pPr>
              <w:pStyle w:val="Puces4"/>
              <w:numPr>
                <w:ilvl w:val="0"/>
                <w:numId w:val="2"/>
              </w:numPr>
              <w:rPr>
                <w:color w:val="000000" w:themeColor="text1"/>
              </w:rPr>
            </w:pPr>
            <w:r>
              <w:rPr>
                <w:rFonts w:cs="Calibri"/>
                <w:sz w:val="18"/>
                <w:szCs w:val="18"/>
              </w:rPr>
              <w:t>Maximise</w:t>
            </w:r>
            <w:r w:rsidRPr="00561997">
              <w:rPr>
                <w:rFonts w:cs="Calibri"/>
                <w:sz w:val="18"/>
                <w:szCs w:val="18"/>
              </w:rPr>
              <w:t xml:space="preserve"> people performance and strategy</w:t>
            </w:r>
          </w:p>
          <w:p w:rsidR="00AB2A0C" w:rsidRPr="00AB2A0C" w:rsidRDefault="00AB2A0C" w:rsidP="00F479E6">
            <w:pPr>
              <w:pStyle w:val="Puces4"/>
              <w:numPr>
                <w:ilvl w:val="0"/>
                <w:numId w:val="2"/>
              </w:numPr>
              <w:rPr>
                <w:color w:val="000000" w:themeColor="text1"/>
              </w:rPr>
            </w:pPr>
            <w:r>
              <w:rPr>
                <w:rFonts w:cs="Calibri"/>
                <w:sz w:val="18"/>
                <w:szCs w:val="18"/>
              </w:rPr>
              <w:t>E</w:t>
            </w:r>
            <w:r w:rsidRPr="00561997">
              <w:rPr>
                <w:rFonts w:cs="Calibri"/>
                <w:sz w:val="18"/>
                <w:szCs w:val="18"/>
              </w:rPr>
              <w:t xml:space="preserve">xpand leadership awareness of HR processes and systems </w:t>
            </w:r>
            <w:r>
              <w:rPr>
                <w:rFonts w:cs="Calibri"/>
                <w:sz w:val="18"/>
                <w:szCs w:val="18"/>
              </w:rPr>
              <w:t>to strengthen people management</w:t>
            </w:r>
          </w:p>
          <w:p w:rsidR="00AB2A0C" w:rsidRPr="00403B75" w:rsidRDefault="00AB2A0C" w:rsidP="00882455">
            <w:pPr>
              <w:pStyle w:val="Puces4"/>
              <w:numPr>
                <w:ilvl w:val="0"/>
                <w:numId w:val="2"/>
              </w:numPr>
              <w:rPr>
                <w:color w:val="000000" w:themeColor="text1"/>
              </w:rPr>
            </w:pPr>
            <w:r>
              <w:rPr>
                <w:rFonts w:cs="Calibri"/>
                <w:sz w:val="18"/>
                <w:szCs w:val="18"/>
              </w:rPr>
              <w:t>E</w:t>
            </w:r>
            <w:r w:rsidRPr="00561997">
              <w:rPr>
                <w:rFonts w:cs="Calibri"/>
                <w:sz w:val="18"/>
                <w:szCs w:val="18"/>
              </w:rPr>
              <w:t>nsur</w:t>
            </w:r>
            <w:r>
              <w:rPr>
                <w:rFonts w:cs="Calibri"/>
                <w:sz w:val="18"/>
                <w:szCs w:val="18"/>
              </w:rPr>
              <w:t>e</w:t>
            </w:r>
            <w:r w:rsidRPr="00561997">
              <w:rPr>
                <w:rFonts w:cs="Calibri"/>
                <w:sz w:val="18"/>
                <w:szCs w:val="18"/>
              </w:rPr>
              <w:t xml:space="preserve"> the mechanics of HR work to deliver efficiency </w:t>
            </w:r>
            <w:r>
              <w:rPr>
                <w:rFonts w:cs="Calibri"/>
                <w:sz w:val="18"/>
                <w:szCs w:val="18"/>
              </w:rPr>
              <w:t>and effectiveness for the teams</w:t>
            </w:r>
          </w:p>
          <w:p w:rsidR="00403B75" w:rsidRPr="00403B75" w:rsidRDefault="00403B75" w:rsidP="00882455">
            <w:pPr>
              <w:pStyle w:val="Puces4"/>
              <w:numPr>
                <w:ilvl w:val="0"/>
                <w:numId w:val="2"/>
              </w:numPr>
              <w:rPr>
                <w:color w:val="000000" w:themeColor="text1"/>
              </w:rPr>
            </w:pPr>
            <w:r>
              <w:rPr>
                <w:rFonts w:cs="Calibri"/>
                <w:sz w:val="18"/>
                <w:szCs w:val="18"/>
              </w:rPr>
              <w:t xml:space="preserve">Ensure all HR practices are in accordance with </w:t>
            </w:r>
            <w:r w:rsidR="00440321">
              <w:rPr>
                <w:rFonts w:cs="Calibri"/>
                <w:sz w:val="18"/>
                <w:szCs w:val="18"/>
              </w:rPr>
              <w:t>the collective agreements, Republic of Cyprus employment</w:t>
            </w:r>
            <w:r>
              <w:rPr>
                <w:rFonts w:cs="Calibri"/>
                <w:sz w:val="18"/>
                <w:szCs w:val="18"/>
              </w:rPr>
              <w:t xml:space="preserve"> legislation, Cypriot employment practices and </w:t>
            </w:r>
            <w:r w:rsidR="00087EC7">
              <w:rPr>
                <w:rFonts w:cs="Calibri"/>
                <w:sz w:val="18"/>
                <w:szCs w:val="18"/>
              </w:rPr>
              <w:t xml:space="preserve"> </w:t>
            </w:r>
            <w:r w:rsidR="00440321">
              <w:rPr>
                <w:rFonts w:cs="Calibri"/>
                <w:sz w:val="18"/>
                <w:szCs w:val="18"/>
              </w:rPr>
              <w:t>the Sodexo ways of working</w:t>
            </w:r>
          </w:p>
          <w:p w:rsidR="00403B75" w:rsidRPr="00882455" w:rsidRDefault="00403B75" w:rsidP="00403B75">
            <w:pPr>
              <w:pStyle w:val="Puces4"/>
              <w:numPr>
                <w:ilvl w:val="0"/>
                <w:numId w:val="0"/>
              </w:numPr>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C06CAA">
            <w:pPr>
              <w:rPr>
                <w:sz w:val="18"/>
                <w:szCs w:val="18"/>
              </w:rPr>
            </w:pPr>
            <w:r w:rsidRPr="007C0E94">
              <w:rPr>
                <w:sz w:val="18"/>
                <w:szCs w:val="18"/>
              </w:rPr>
              <w:t>Revenue FY1</w:t>
            </w:r>
            <w:r w:rsidR="00C06CAA">
              <w:rPr>
                <w:sz w:val="18"/>
                <w:szCs w:val="18"/>
              </w:rPr>
              <w:t>7</w:t>
            </w:r>
            <w:r w:rsidRPr="007C0E94">
              <w:rPr>
                <w:sz w:val="18"/>
                <w:szCs w:val="18"/>
              </w:rPr>
              <w:t>:</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Default="004A5FEC" w:rsidP="004A5FEC">
            <w:pPr>
              <w:spacing w:before="40" w:after="40"/>
              <w:ind w:left="360"/>
              <w:jc w:val="left"/>
              <w:rPr>
                <w:rFonts w:cs="Arial"/>
                <w:color w:val="000000" w:themeColor="text1"/>
                <w:szCs w:val="20"/>
              </w:rPr>
            </w:pPr>
            <w:r>
              <w:rPr>
                <w:rFonts w:cs="Arial"/>
                <w:color w:val="000000" w:themeColor="text1"/>
                <w:szCs w:val="20"/>
              </w:rPr>
              <w:t>Bring HR Competency and thought leadership to help drive innovation and expertise as a partne</w:t>
            </w:r>
            <w:r w:rsidR="0048345F">
              <w:rPr>
                <w:rFonts w:cs="Arial"/>
                <w:color w:val="000000" w:themeColor="text1"/>
                <w:szCs w:val="20"/>
              </w:rPr>
              <w:t xml:space="preserve">r to the </w:t>
            </w:r>
          </w:p>
          <w:p w:rsidR="004A5FEC" w:rsidRPr="00144E5D" w:rsidRDefault="00D05FA4" w:rsidP="007D66D7">
            <w:pPr>
              <w:spacing w:before="40" w:after="40"/>
              <w:ind w:left="360"/>
              <w:jc w:val="left"/>
              <w:rPr>
                <w:rFonts w:cs="Arial"/>
                <w:color w:val="000000" w:themeColor="text1"/>
                <w:szCs w:val="20"/>
              </w:rPr>
            </w:pPr>
            <w:r>
              <w:rPr>
                <w:rFonts w:cs="Arial"/>
                <w:color w:val="000000" w:themeColor="text1"/>
                <w:szCs w:val="20"/>
              </w:rPr>
              <w:t>Relationships with</w:t>
            </w:r>
            <w:r w:rsidRPr="00447148">
              <w:rPr>
                <w:rFonts w:cs="Arial"/>
                <w:color w:val="000000" w:themeColor="text1"/>
                <w:szCs w:val="20"/>
              </w:rPr>
              <w:t xml:space="preserve"> </w:t>
            </w:r>
            <w:r>
              <w:rPr>
                <w:rFonts w:cs="Arial"/>
                <w:color w:val="000000" w:themeColor="text1"/>
                <w:szCs w:val="20"/>
              </w:rPr>
              <w:t>segment e</w:t>
            </w:r>
            <w:r w:rsidR="007D66D7">
              <w:rPr>
                <w:rFonts w:cs="Arial"/>
                <w:color w:val="000000" w:themeColor="text1"/>
                <w:szCs w:val="20"/>
              </w:rPr>
              <w:t>xecutives, HRBPs, HR Director</w:t>
            </w:r>
            <w:r w:rsidRPr="00447148">
              <w:rPr>
                <w:rFonts w:cs="Arial"/>
                <w:color w:val="000000" w:themeColor="text1"/>
                <w:szCs w:val="20"/>
              </w:rPr>
              <w:t xml:space="preserve">, </w:t>
            </w:r>
            <w:r w:rsidR="007D66D7">
              <w:rPr>
                <w:rFonts w:cs="Arial"/>
                <w:color w:val="000000" w:themeColor="text1"/>
                <w:szCs w:val="20"/>
              </w:rPr>
              <w:t>on island lawyers, Cyprus employers federation, trade union representatives, central HR a</w:t>
            </w:r>
            <w:r w:rsidRPr="00447148">
              <w:rPr>
                <w:rFonts w:cs="Arial"/>
                <w:color w:val="000000" w:themeColor="text1"/>
                <w:szCs w:val="20"/>
              </w:rPr>
              <w:t xml:space="preserve">dvisory, </w:t>
            </w:r>
            <w:r w:rsidR="007D66D7">
              <w:rPr>
                <w:rFonts w:cs="Arial"/>
                <w:color w:val="000000" w:themeColor="text1"/>
                <w:szCs w:val="20"/>
              </w:rPr>
              <w:t>l</w:t>
            </w:r>
            <w:r w:rsidRPr="00447148">
              <w:rPr>
                <w:rFonts w:cs="Arial"/>
                <w:color w:val="000000" w:themeColor="text1"/>
                <w:szCs w:val="20"/>
              </w:rPr>
              <w:t xml:space="preserve">egal </w:t>
            </w:r>
            <w:r w:rsidR="007D66D7">
              <w:rPr>
                <w:rFonts w:cs="Arial"/>
                <w:color w:val="000000" w:themeColor="text1"/>
                <w:szCs w:val="20"/>
              </w:rPr>
              <w:t>c</w:t>
            </w:r>
            <w:r w:rsidRPr="00447148">
              <w:rPr>
                <w:rFonts w:cs="Arial"/>
                <w:color w:val="000000" w:themeColor="text1"/>
                <w:szCs w:val="20"/>
              </w:rPr>
              <w:t>ounsel, People Centre</w:t>
            </w:r>
          </w:p>
        </w:tc>
      </w:tr>
    </w:tbl>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C87284" w:rsidRDefault="00C87284" w:rsidP="00366A73">
      <w:pPr>
        <w:rPr>
          <w:sz w:val="18"/>
        </w:rPr>
      </w:pPr>
    </w:p>
    <w:p w:rsidR="00366A73" w:rsidRPr="006658E1" w:rsidRDefault="00EF71E1"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06FEC">
        <w:trPr>
          <w:trHeight w:val="4527"/>
        </w:trPr>
        <w:tc>
          <w:tcPr>
            <w:tcW w:w="10458" w:type="dxa"/>
            <w:tcBorders>
              <w:top w:val="dotted" w:sz="4" w:space="0" w:color="auto"/>
              <w:left w:val="single" w:sz="2" w:space="0" w:color="auto"/>
              <w:bottom w:val="single" w:sz="2" w:space="0" w:color="000000"/>
              <w:right w:val="single" w:sz="2" w:space="0" w:color="auto"/>
            </w:tcBorders>
          </w:tcPr>
          <w:p w:rsidR="00366A73" w:rsidRPr="00306FEC" w:rsidRDefault="004A5FEC" w:rsidP="00306FEC">
            <w:pPr>
              <w:spacing w:after="40"/>
              <w:jc w:val="center"/>
              <w:rPr>
                <w:rFonts w:cs="Arial"/>
                <w:noProof/>
                <w:sz w:val="10"/>
                <w:szCs w:val="20"/>
                <w:lang w:eastAsia="en-US"/>
              </w:rPr>
            </w:pPr>
            <w:r w:rsidRPr="004A5FEC">
              <w:rPr>
                <w:rFonts w:cs="Arial"/>
                <w:noProof/>
                <w:sz w:val="10"/>
                <w:szCs w:val="20"/>
                <w:lang w:val="en-GB" w:eastAsia="en-GB"/>
              </w:rPr>
              <w:drawing>
                <wp:inline distT="0" distB="0" distL="0" distR="0">
                  <wp:extent cx="5332781" cy="2713939"/>
                  <wp:effectExtent l="7620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c>
      </w:tr>
    </w:tbl>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482759">
        <w:trPr>
          <w:trHeight w:val="1123"/>
        </w:trPr>
        <w:tc>
          <w:tcPr>
            <w:tcW w:w="10458" w:type="dxa"/>
            <w:tcBorders>
              <w:top w:val="dotted" w:sz="2" w:space="0" w:color="auto"/>
              <w:left w:val="single" w:sz="2" w:space="0" w:color="auto"/>
              <w:bottom w:val="single" w:sz="4" w:space="0" w:color="auto"/>
              <w:right w:val="single" w:sz="2" w:space="0" w:color="auto"/>
            </w:tcBorders>
          </w:tcPr>
          <w:p w:rsidR="004D073F" w:rsidRPr="004D073F" w:rsidRDefault="004D073F" w:rsidP="004D073F">
            <w:pPr>
              <w:numPr>
                <w:ilvl w:val="0"/>
                <w:numId w:val="3"/>
              </w:numPr>
              <w:spacing w:before="40" w:after="40"/>
              <w:jc w:val="left"/>
              <w:rPr>
                <w:rFonts w:cs="Arial"/>
                <w:color w:val="FF0000"/>
                <w:szCs w:val="20"/>
              </w:rPr>
            </w:pPr>
            <w:r>
              <w:rPr>
                <w:rFonts w:cs="Arial"/>
                <w:color w:val="000000" w:themeColor="text1"/>
                <w:szCs w:val="20"/>
              </w:rPr>
              <w:t xml:space="preserve">Facilitation of change to maximize people performance </w:t>
            </w:r>
          </w:p>
          <w:p w:rsidR="004D073F" w:rsidRPr="004D073F" w:rsidRDefault="004D073F" w:rsidP="004D073F">
            <w:pPr>
              <w:numPr>
                <w:ilvl w:val="0"/>
                <w:numId w:val="3"/>
              </w:numPr>
              <w:spacing w:before="40" w:after="40"/>
              <w:jc w:val="left"/>
              <w:rPr>
                <w:rFonts w:cs="Arial"/>
                <w:color w:val="FF0000"/>
                <w:szCs w:val="20"/>
              </w:rPr>
            </w:pPr>
            <w:r>
              <w:rPr>
                <w:rFonts w:cs="Arial"/>
                <w:color w:val="000000" w:themeColor="text1"/>
                <w:szCs w:val="20"/>
              </w:rPr>
              <w:t xml:space="preserve">Coaching and consulting to embed collaboration and ownership of people matters </w:t>
            </w:r>
          </w:p>
          <w:p w:rsidR="00745A24" w:rsidRPr="0048345F" w:rsidRDefault="004D073F" w:rsidP="004D073F">
            <w:pPr>
              <w:numPr>
                <w:ilvl w:val="0"/>
                <w:numId w:val="3"/>
              </w:numPr>
              <w:spacing w:before="40" w:after="40"/>
              <w:jc w:val="left"/>
              <w:rPr>
                <w:rFonts w:cs="Arial"/>
                <w:color w:val="FF0000"/>
                <w:szCs w:val="20"/>
              </w:rPr>
            </w:pPr>
            <w:r>
              <w:rPr>
                <w:rFonts w:cs="Arial"/>
                <w:color w:val="000000" w:themeColor="text1"/>
                <w:szCs w:val="20"/>
              </w:rPr>
              <w:t>Senior level influencing to align HR and business with the customer dynamic</w:t>
            </w:r>
          </w:p>
          <w:p w:rsidR="0048345F" w:rsidRPr="0048345F" w:rsidRDefault="003F059E" w:rsidP="004D073F">
            <w:pPr>
              <w:numPr>
                <w:ilvl w:val="0"/>
                <w:numId w:val="3"/>
              </w:numPr>
              <w:spacing w:before="40" w:after="40"/>
              <w:jc w:val="left"/>
              <w:rPr>
                <w:rFonts w:cs="Arial"/>
                <w:color w:val="FF0000"/>
                <w:szCs w:val="20"/>
              </w:rPr>
            </w:pPr>
            <w:r>
              <w:rPr>
                <w:rFonts w:cs="Arial"/>
                <w:color w:val="000000" w:themeColor="text1"/>
                <w:szCs w:val="20"/>
              </w:rPr>
              <w:t xml:space="preserve">Ensure the Sodexo Cyprus </w:t>
            </w:r>
            <w:r w:rsidR="0048345F">
              <w:rPr>
                <w:rFonts w:cs="Arial"/>
                <w:color w:val="000000" w:themeColor="text1"/>
                <w:szCs w:val="20"/>
              </w:rPr>
              <w:t>ethical practices</w:t>
            </w:r>
            <w:r>
              <w:rPr>
                <w:rFonts w:cs="Arial"/>
                <w:color w:val="000000" w:themeColor="text1"/>
                <w:szCs w:val="20"/>
              </w:rPr>
              <w:t xml:space="preserve"> are appropriate for the Republic of Cyprus and in</w:t>
            </w:r>
            <w:r w:rsidR="001E39A4">
              <w:rPr>
                <w:rFonts w:cs="Arial"/>
                <w:color w:val="000000" w:themeColor="text1"/>
                <w:szCs w:val="20"/>
              </w:rPr>
              <w:t xml:space="preserve"> </w:t>
            </w:r>
            <w:r>
              <w:rPr>
                <w:rFonts w:cs="Arial"/>
                <w:color w:val="000000" w:themeColor="text1"/>
                <w:szCs w:val="20"/>
              </w:rPr>
              <w:t>accordance with legislation</w:t>
            </w:r>
          </w:p>
          <w:p w:rsidR="0048345F" w:rsidRPr="008969AF" w:rsidRDefault="00AA13A1" w:rsidP="00AA13A1">
            <w:pPr>
              <w:numPr>
                <w:ilvl w:val="0"/>
                <w:numId w:val="3"/>
              </w:numPr>
              <w:spacing w:before="40" w:after="40"/>
              <w:jc w:val="left"/>
              <w:rPr>
                <w:rFonts w:cs="Arial"/>
                <w:color w:val="FF0000"/>
                <w:szCs w:val="20"/>
              </w:rPr>
            </w:pPr>
            <w:r>
              <w:rPr>
                <w:rFonts w:cs="Arial"/>
                <w:szCs w:val="20"/>
              </w:rPr>
              <w:t>Ensure that all people</w:t>
            </w:r>
            <w:r w:rsidRPr="00935D7F">
              <w:rPr>
                <w:rFonts w:cs="Arial"/>
                <w:szCs w:val="20"/>
              </w:rPr>
              <w:t xml:space="preserve"> risks specific to</w:t>
            </w:r>
            <w:r w:rsidR="008969AF">
              <w:rPr>
                <w:rFonts w:cs="Arial"/>
                <w:szCs w:val="20"/>
              </w:rPr>
              <w:t xml:space="preserve"> Sodexo</w:t>
            </w:r>
            <w:r w:rsidRPr="00935D7F">
              <w:rPr>
                <w:rFonts w:cs="Arial"/>
                <w:szCs w:val="20"/>
              </w:rPr>
              <w:t xml:space="preserve"> Cyprus are identified and mitigated</w:t>
            </w:r>
          </w:p>
          <w:p w:rsidR="003F059E" w:rsidRPr="00C87284" w:rsidRDefault="003F059E" w:rsidP="00C87284">
            <w:pPr>
              <w:numPr>
                <w:ilvl w:val="0"/>
                <w:numId w:val="3"/>
              </w:numPr>
              <w:spacing w:before="40" w:after="40"/>
              <w:jc w:val="left"/>
              <w:rPr>
                <w:rFonts w:cs="Arial"/>
                <w:color w:val="FF0000"/>
                <w:szCs w:val="20"/>
              </w:rPr>
            </w:pPr>
            <w:r>
              <w:rPr>
                <w:rFonts w:cs="Arial"/>
                <w:szCs w:val="20"/>
              </w:rPr>
              <w:t>Manage the trade union relationship</w:t>
            </w:r>
            <w:r w:rsidR="001E39A4">
              <w:rPr>
                <w:rFonts w:cs="Arial"/>
                <w:szCs w:val="20"/>
              </w:rPr>
              <w:t>s</w:t>
            </w:r>
            <w:r>
              <w:rPr>
                <w:rFonts w:cs="Arial"/>
                <w:szCs w:val="20"/>
              </w:rPr>
              <w:t>, c</w:t>
            </w:r>
            <w:r w:rsidR="008969AF">
              <w:rPr>
                <w:rFonts w:cs="Arial"/>
                <w:szCs w:val="20"/>
              </w:rPr>
              <w:t>ollective agreem</w:t>
            </w:r>
            <w:r>
              <w:rPr>
                <w:rFonts w:cs="Arial"/>
                <w:szCs w:val="20"/>
              </w:rPr>
              <w:t>e</w:t>
            </w:r>
            <w:r w:rsidR="008969AF">
              <w:rPr>
                <w:rFonts w:cs="Arial"/>
                <w:szCs w:val="20"/>
              </w:rPr>
              <w:t>n</w:t>
            </w:r>
            <w:r>
              <w:rPr>
                <w:rFonts w:cs="Arial"/>
                <w:szCs w:val="20"/>
              </w:rPr>
              <w:t>t negotiations and application</w:t>
            </w:r>
            <w:r w:rsidR="008969AF">
              <w:rPr>
                <w:rFonts w:cs="Arial"/>
                <w:szCs w:val="20"/>
              </w:rPr>
              <w:t xml:space="preserve"> </w:t>
            </w:r>
          </w:p>
        </w:tc>
      </w:tr>
    </w:tbl>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F479E6" w:rsidRDefault="00F479E6" w:rsidP="00656519">
            <w:pPr>
              <w:rPr>
                <w:rFonts w:cs="Arial"/>
                <w:b/>
                <w:color w:val="000000" w:themeColor="text1"/>
                <w:szCs w:val="20"/>
                <w:lang w:val="en-GB"/>
              </w:rPr>
            </w:pPr>
          </w:p>
          <w:p w:rsidR="00882455" w:rsidRPr="00882455" w:rsidRDefault="00882455" w:rsidP="00882455">
            <w:pPr>
              <w:pStyle w:val="ListParagraph"/>
              <w:numPr>
                <w:ilvl w:val="0"/>
                <w:numId w:val="14"/>
              </w:numPr>
              <w:rPr>
                <w:rFonts w:cs="Arial"/>
                <w:color w:val="000000" w:themeColor="text1"/>
                <w:szCs w:val="20"/>
                <w:lang w:val="en-GB"/>
              </w:rPr>
            </w:pPr>
            <w:r w:rsidRPr="00882455">
              <w:rPr>
                <w:rFonts w:cs="Arial"/>
                <w:b/>
                <w:color w:val="000000" w:themeColor="text1"/>
                <w:szCs w:val="20"/>
                <w:lang w:val="en-GB"/>
              </w:rPr>
              <w:t>HR Strategy</w:t>
            </w:r>
            <w:r w:rsidRPr="00882455">
              <w:rPr>
                <w:rFonts w:cs="Arial"/>
                <w:color w:val="000000" w:themeColor="text1"/>
                <w:szCs w:val="20"/>
                <w:lang w:val="en-GB"/>
              </w:rPr>
              <w:t xml:space="preserve"> – Translate People Agenda into deliverable People Plans aligned to business strategy. Engage in thought leadership and best practice knowledge sharing to influence and challenge management thinking. </w:t>
            </w:r>
          </w:p>
          <w:p w:rsidR="00F1625F" w:rsidRDefault="00882455" w:rsidP="00882455">
            <w:pPr>
              <w:pStyle w:val="ListParagraph"/>
              <w:numPr>
                <w:ilvl w:val="0"/>
                <w:numId w:val="14"/>
              </w:numPr>
              <w:rPr>
                <w:rFonts w:cs="Arial"/>
                <w:color w:val="000000" w:themeColor="text1"/>
                <w:szCs w:val="20"/>
                <w:lang w:val="en-GB"/>
              </w:rPr>
            </w:pPr>
            <w:r w:rsidRPr="00F1625F">
              <w:rPr>
                <w:rFonts w:cs="Arial"/>
                <w:b/>
                <w:color w:val="000000" w:themeColor="text1"/>
                <w:szCs w:val="20"/>
                <w:lang w:val="en-GB"/>
              </w:rPr>
              <w:t>Develop the Way We Work Culture</w:t>
            </w:r>
            <w:r w:rsidRPr="00F1625F">
              <w:rPr>
                <w:rFonts w:cs="Arial"/>
                <w:color w:val="000000" w:themeColor="text1"/>
                <w:szCs w:val="20"/>
                <w:lang w:val="en-GB"/>
              </w:rPr>
              <w:t xml:space="preserve">– Significant change management in terms of organisational design and development to support collaboration and drive high performance. </w:t>
            </w:r>
          </w:p>
          <w:p w:rsidR="00882455" w:rsidRPr="00F1625F" w:rsidRDefault="00882455" w:rsidP="00882455">
            <w:pPr>
              <w:pStyle w:val="ListParagraph"/>
              <w:numPr>
                <w:ilvl w:val="0"/>
                <w:numId w:val="14"/>
              </w:numPr>
              <w:rPr>
                <w:rFonts w:cs="Arial"/>
                <w:color w:val="000000" w:themeColor="text1"/>
                <w:szCs w:val="20"/>
                <w:lang w:val="en-GB"/>
              </w:rPr>
            </w:pPr>
            <w:r w:rsidRPr="00F1625F">
              <w:rPr>
                <w:rFonts w:cs="Arial"/>
                <w:b/>
                <w:color w:val="000000" w:themeColor="text1"/>
                <w:szCs w:val="20"/>
                <w:lang w:val="en-GB"/>
              </w:rPr>
              <w:t>Workforce Planning &amp; Sizing</w:t>
            </w:r>
            <w:r w:rsidRPr="00F1625F">
              <w:rPr>
                <w:rFonts w:cs="Arial"/>
                <w:color w:val="000000" w:themeColor="text1"/>
                <w:szCs w:val="20"/>
                <w:lang w:val="en-GB"/>
              </w:rPr>
              <w:t xml:space="preserve"> – Work with Resourcing to deliver sufficient resources to accomplish business goals in line with Demand &amp; Supply to support segment strategies. Gain market insight and prediction of trends by service line, platform and function to shape longer term workforce planning. Achieve predictable workforce cost with expertise capability. </w:t>
            </w:r>
          </w:p>
          <w:p w:rsidR="00882455" w:rsidRPr="00882455" w:rsidRDefault="00882455" w:rsidP="00882455">
            <w:pPr>
              <w:pStyle w:val="ListParagraph"/>
              <w:numPr>
                <w:ilvl w:val="0"/>
                <w:numId w:val="14"/>
              </w:numPr>
              <w:rPr>
                <w:rFonts w:cs="Arial"/>
                <w:color w:val="000000" w:themeColor="text1"/>
                <w:szCs w:val="20"/>
                <w:lang w:val="en-GB"/>
              </w:rPr>
            </w:pPr>
            <w:r w:rsidRPr="00882455">
              <w:rPr>
                <w:rFonts w:cs="Arial"/>
                <w:b/>
                <w:color w:val="000000" w:themeColor="text1"/>
                <w:szCs w:val="20"/>
                <w:lang w:val="en-GB"/>
              </w:rPr>
              <w:t>Talent Management</w:t>
            </w:r>
            <w:r w:rsidRPr="00882455">
              <w:rPr>
                <w:rFonts w:cs="Arial"/>
                <w:color w:val="000000" w:themeColor="text1"/>
                <w:szCs w:val="20"/>
                <w:lang w:val="en-GB"/>
              </w:rPr>
              <w:t xml:space="preserve"> – Attract, develop and retain talent to enable future growth with accurate succession planning and internal advancement against agreed development plans. Understand the mobility of talent within UK&amp;I.  </w:t>
            </w:r>
          </w:p>
          <w:p w:rsidR="00882455" w:rsidRPr="00882455" w:rsidRDefault="00882455" w:rsidP="00882455">
            <w:pPr>
              <w:pStyle w:val="ListParagraph"/>
              <w:numPr>
                <w:ilvl w:val="0"/>
                <w:numId w:val="14"/>
              </w:numPr>
              <w:rPr>
                <w:rFonts w:cs="Arial"/>
                <w:color w:val="000000" w:themeColor="text1"/>
                <w:szCs w:val="20"/>
                <w:lang w:val="en-GB"/>
              </w:rPr>
            </w:pPr>
            <w:r w:rsidRPr="00882455">
              <w:rPr>
                <w:rFonts w:cs="Arial"/>
                <w:b/>
                <w:color w:val="000000" w:themeColor="text1"/>
                <w:szCs w:val="20"/>
                <w:lang w:val="en-GB"/>
              </w:rPr>
              <w:t>Training &amp; Development</w:t>
            </w:r>
            <w:r w:rsidRPr="00882455">
              <w:rPr>
                <w:rFonts w:cs="Arial"/>
                <w:color w:val="000000" w:themeColor="text1"/>
                <w:szCs w:val="20"/>
                <w:lang w:val="en-GB"/>
              </w:rPr>
              <w:t xml:space="preserve"> – Work with L&amp;D and SMEs to define competencies and establish role profile frameworks with career pathways for development of expertise. Understand the L&amp;D requirements of segments to design deploy and improve service training models.  Share insight to shape the L&amp;D Planning for the Service Operations team.  </w:t>
            </w:r>
          </w:p>
          <w:p w:rsidR="00882455" w:rsidRPr="00882455" w:rsidRDefault="00882455" w:rsidP="00882455">
            <w:pPr>
              <w:pStyle w:val="ListParagraph"/>
              <w:numPr>
                <w:ilvl w:val="0"/>
                <w:numId w:val="14"/>
              </w:numPr>
              <w:rPr>
                <w:rFonts w:cs="Arial"/>
                <w:color w:val="000000" w:themeColor="text1"/>
                <w:szCs w:val="20"/>
                <w:lang w:val="en-GB"/>
              </w:rPr>
            </w:pPr>
            <w:r w:rsidRPr="00882455">
              <w:rPr>
                <w:rFonts w:cs="Arial"/>
                <w:b/>
                <w:color w:val="000000" w:themeColor="text1"/>
                <w:szCs w:val="20"/>
                <w:lang w:val="en-GB"/>
              </w:rPr>
              <w:t>Quality of Life and Engagement</w:t>
            </w:r>
            <w:r w:rsidRPr="00882455">
              <w:rPr>
                <w:rFonts w:cs="Arial"/>
                <w:color w:val="000000" w:themeColor="text1"/>
                <w:szCs w:val="20"/>
                <w:lang w:val="en-GB"/>
              </w:rPr>
              <w:t xml:space="preserve"> – Facilitate engagement levels </w:t>
            </w:r>
            <w:r w:rsidR="007A52E6">
              <w:rPr>
                <w:rFonts w:cs="Arial"/>
                <w:color w:val="000000" w:themeColor="text1"/>
                <w:szCs w:val="20"/>
                <w:lang w:val="en-GB"/>
              </w:rPr>
              <w:t xml:space="preserve">in line with segment targets </w:t>
            </w:r>
            <w:r w:rsidRPr="00882455">
              <w:rPr>
                <w:rFonts w:cs="Arial"/>
                <w:color w:val="000000" w:themeColor="text1"/>
                <w:szCs w:val="20"/>
                <w:lang w:val="en-GB"/>
              </w:rPr>
              <w:t xml:space="preserve">through close liaison with the team People Groups for engagement and IIP Gold. Work with Transversal HR to devise Reward and Recognition Strategies that are fit for purpose for functional teams. Deliver HR calendar </w:t>
            </w:r>
            <w:r w:rsidRPr="00882455">
              <w:rPr>
                <w:rFonts w:cs="Arial"/>
                <w:color w:val="000000" w:themeColor="text1"/>
                <w:szCs w:val="20"/>
                <w:lang w:val="en-GB"/>
              </w:rPr>
              <w:lastRenderedPageBreak/>
              <w:t xml:space="preserve">activity which enhances Quality of Life, diversity and inclusion for our employees to enable Service Operations employee ambassadors  to act as global citizens </w:t>
            </w:r>
          </w:p>
          <w:p w:rsidR="00882455" w:rsidRPr="00882455" w:rsidRDefault="00882455" w:rsidP="00882455">
            <w:pPr>
              <w:pStyle w:val="ListParagraph"/>
              <w:numPr>
                <w:ilvl w:val="0"/>
                <w:numId w:val="14"/>
              </w:numPr>
              <w:rPr>
                <w:rFonts w:cs="Arial"/>
                <w:color w:val="000000" w:themeColor="text1"/>
                <w:szCs w:val="20"/>
                <w:lang w:val="en-GB"/>
              </w:rPr>
            </w:pPr>
            <w:r w:rsidRPr="00882455">
              <w:rPr>
                <w:rFonts w:cs="Arial"/>
                <w:b/>
                <w:color w:val="000000" w:themeColor="text1"/>
                <w:szCs w:val="20"/>
                <w:lang w:val="en-GB"/>
              </w:rPr>
              <w:t>Labour Models &amp; Costs</w:t>
            </w:r>
            <w:r w:rsidRPr="00882455">
              <w:rPr>
                <w:rFonts w:cs="Arial"/>
                <w:color w:val="000000" w:themeColor="text1"/>
                <w:szCs w:val="20"/>
                <w:lang w:val="en-GB"/>
              </w:rPr>
              <w:t xml:space="preserve"> – Devise labour models with SMEs for each offer with predictable and competitive labour costs for simple and complex solutions.  Optimise our labour costs to drive margin improvements. </w:t>
            </w:r>
          </w:p>
          <w:p w:rsidR="00882455" w:rsidRPr="00882455" w:rsidRDefault="00882455" w:rsidP="00882455">
            <w:pPr>
              <w:pStyle w:val="ListParagraph"/>
              <w:numPr>
                <w:ilvl w:val="0"/>
                <w:numId w:val="14"/>
              </w:numPr>
              <w:rPr>
                <w:rFonts w:cs="Arial"/>
                <w:color w:val="000000" w:themeColor="text1"/>
                <w:szCs w:val="20"/>
                <w:lang w:val="en-GB"/>
              </w:rPr>
            </w:pPr>
            <w:r w:rsidRPr="00882455">
              <w:rPr>
                <w:rFonts w:cs="Arial"/>
                <w:b/>
                <w:color w:val="000000" w:themeColor="text1"/>
                <w:szCs w:val="20"/>
                <w:lang w:val="en-GB"/>
              </w:rPr>
              <w:t xml:space="preserve">HR bid support </w:t>
            </w:r>
            <w:r w:rsidRPr="00882455">
              <w:rPr>
                <w:rFonts w:cs="Arial"/>
                <w:color w:val="000000" w:themeColor="text1"/>
                <w:szCs w:val="20"/>
                <w:lang w:val="en-GB"/>
              </w:rPr>
              <w:t>– enhance best practice, process, materials and toolkits to support growth.</w:t>
            </w:r>
          </w:p>
          <w:p w:rsidR="00424476" w:rsidRDefault="00882455" w:rsidP="00882455">
            <w:pPr>
              <w:numPr>
                <w:ilvl w:val="0"/>
                <w:numId w:val="14"/>
              </w:numPr>
              <w:rPr>
                <w:rFonts w:cs="Arial"/>
                <w:color w:val="000000" w:themeColor="text1"/>
                <w:szCs w:val="20"/>
                <w:lang w:val="en-GB"/>
              </w:rPr>
            </w:pPr>
            <w:r w:rsidRPr="00882455">
              <w:rPr>
                <w:rFonts w:cs="Arial"/>
                <w:b/>
                <w:color w:val="000000" w:themeColor="text1"/>
                <w:szCs w:val="20"/>
                <w:lang w:val="en-GB"/>
              </w:rPr>
              <w:t>Employee Relations and Performance</w:t>
            </w:r>
            <w:r w:rsidRPr="00882455">
              <w:rPr>
                <w:rFonts w:cs="Arial"/>
                <w:color w:val="000000" w:themeColor="text1"/>
                <w:szCs w:val="20"/>
                <w:lang w:val="en-GB"/>
              </w:rPr>
              <w:t xml:space="preserve"> </w:t>
            </w:r>
            <w:r w:rsidRPr="00882455">
              <w:rPr>
                <w:rFonts w:cs="Arial"/>
                <w:b/>
                <w:color w:val="000000" w:themeColor="text1"/>
                <w:szCs w:val="20"/>
                <w:lang w:val="en-GB"/>
              </w:rPr>
              <w:t>Management</w:t>
            </w:r>
            <w:r w:rsidRPr="00882455">
              <w:rPr>
                <w:rFonts w:cs="Arial"/>
                <w:color w:val="000000" w:themeColor="text1"/>
                <w:szCs w:val="20"/>
                <w:lang w:val="en-GB"/>
              </w:rPr>
              <w:t xml:space="preserve"> – Support Managers with case management matters. Support value creation from the </w:t>
            </w:r>
            <w:proofErr w:type="spellStart"/>
            <w:r w:rsidRPr="00882455">
              <w:rPr>
                <w:rFonts w:cs="Arial"/>
                <w:color w:val="000000" w:themeColor="text1"/>
                <w:szCs w:val="20"/>
                <w:lang w:val="en-GB"/>
              </w:rPr>
              <w:t>Ingenium</w:t>
            </w:r>
            <w:proofErr w:type="spellEnd"/>
            <w:r w:rsidRPr="00882455">
              <w:rPr>
                <w:rFonts w:cs="Arial"/>
                <w:color w:val="000000" w:themeColor="text1"/>
                <w:szCs w:val="20"/>
                <w:lang w:val="en-GB"/>
              </w:rPr>
              <w:t xml:space="preserve"> process to drive proactive performance management.  Challenge performance on established people metrics – engagement, retention, development and productivity. </w:t>
            </w:r>
          </w:p>
          <w:p w:rsidR="00882455" w:rsidRPr="00424476" w:rsidRDefault="00882455" w:rsidP="00882455">
            <w:pPr>
              <w:ind w:left="720"/>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306FEC" w:rsidRPr="00694D67" w:rsidRDefault="00306FEC" w:rsidP="00306FEC">
            <w:pPr>
              <w:pStyle w:val="ListParagraph"/>
              <w:numPr>
                <w:ilvl w:val="0"/>
                <w:numId w:val="3"/>
              </w:numPr>
              <w:spacing w:line="312" w:lineRule="auto"/>
              <w:rPr>
                <w:rFonts w:cs="Arial"/>
                <w:sz w:val="18"/>
                <w:szCs w:val="20"/>
              </w:rPr>
            </w:pPr>
            <w:r w:rsidRPr="00694D67">
              <w:rPr>
                <w:rFonts w:cs="Arial"/>
                <w:sz w:val="18"/>
                <w:szCs w:val="20"/>
              </w:rPr>
              <w:t>Performance on established people-metrics; Quality of Life progress for all Service Operations Sodexo employees (contribution), and all Service Operations employees (responsibility): engagement, retention, development and productivity</w:t>
            </w:r>
          </w:p>
          <w:p w:rsidR="00306FEC" w:rsidRPr="00694D67" w:rsidRDefault="00306FEC" w:rsidP="00306FEC">
            <w:pPr>
              <w:pStyle w:val="ListParagraph"/>
              <w:numPr>
                <w:ilvl w:val="0"/>
                <w:numId w:val="3"/>
              </w:numPr>
              <w:spacing w:line="312" w:lineRule="auto"/>
              <w:rPr>
                <w:rFonts w:cs="Arial"/>
                <w:sz w:val="18"/>
                <w:szCs w:val="20"/>
              </w:rPr>
            </w:pPr>
            <w:r w:rsidRPr="00694D67">
              <w:rPr>
                <w:rFonts w:cs="Arial"/>
                <w:sz w:val="18"/>
                <w:szCs w:val="20"/>
              </w:rPr>
              <w:t xml:space="preserve">Full compliance with HR policies, guidelines, processes and SLAs </w:t>
            </w:r>
          </w:p>
          <w:p w:rsidR="00306FEC" w:rsidRPr="00694D67" w:rsidRDefault="004D073F" w:rsidP="00306FEC">
            <w:pPr>
              <w:pStyle w:val="ListParagraph"/>
              <w:numPr>
                <w:ilvl w:val="0"/>
                <w:numId w:val="3"/>
              </w:numPr>
              <w:spacing w:line="312" w:lineRule="auto"/>
              <w:rPr>
                <w:rFonts w:cs="Arial"/>
                <w:sz w:val="18"/>
                <w:szCs w:val="20"/>
              </w:rPr>
            </w:pPr>
            <w:proofErr w:type="spellStart"/>
            <w:r>
              <w:rPr>
                <w:rFonts w:cs="Arial"/>
                <w:sz w:val="18"/>
                <w:szCs w:val="20"/>
              </w:rPr>
              <w:t>Optimis</w:t>
            </w:r>
            <w:r w:rsidR="00306FEC" w:rsidRPr="00694D67">
              <w:rPr>
                <w:rFonts w:cs="Arial"/>
                <w:sz w:val="18"/>
                <w:szCs w:val="20"/>
              </w:rPr>
              <w:t>ation</w:t>
            </w:r>
            <w:proofErr w:type="spellEnd"/>
            <w:r w:rsidR="00306FEC" w:rsidRPr="00694D67">
              <w:rPr>
                <w:rFonts w:cs="Arial"/>
                <w:sz w:val="18"/>
                <w:szCs w:val="20"/>
              </w:rPr>
              <w:t xml:space="preserve"> of </w:t>
            </w:r>
            <w:proofErr w:type="spellStart"/>
            <w:r w:rsidR="00306FEC" w:rsidRPr="00694D67">
              <w:rPr>
                <w:rFonts w:cs="Arial"/>
                <w:sz w:val="18"/>
                <w:szCs w:val="20"/>
              </w:rPr>
              <w:t>labo</w:t>
            </w:r>
            <w:r>
              <w:rPr>
                <w:rFonts w:cs="Arial"/>
                <w:sz w:val="18"/>
                <w:szCs w:val="20"/>
              </w:rPr>
              <w:t>u</w:t>
            </w:r>
            <w:r w:rsidR="00306FEC" w:rsidRPr="00694D67">
              <w:rPr>
                <w:rFonts w:cs="Arial"/>
                <w:sz w:val="18"/>
                <w:szCs w:val="20"/>
              </w:rPr>
              <w:t>r</w:t>
            </w:r>
            <w:proofErr w:type="spellEnd"/>
            <w:r w:rsidR="00306FEC" w:rsidRPr="00694D67">
              <w:rPr>
                <w:rFonts w:cs="Arial"/>
                <w:sz w:val="18"/>
                <w:szCs w:val="20"/>
              </w:rPr>
              <w:t xml:space="preserve"> costs in operations for margin improvement</w:t>
            </w:r>
          </w:p>
          <w:p w:rsidR="00306FEC" w:rsidRPr="00694D67" w:rsidRDefault="00306FEC" w:rsidP="00306FEC">
            <w:pPr>
              <w:pStyle w:val="ListParagraph"/>
              <w:numPr>
                <w:ilvl w:val="0"/>
                <w:numId w:val="3"/>
              </w:numPr>
              <w:spacing w:line="312" w:lineRule="auto"/>
              <w:rPr>
                <w:rFonts w:cs="Arial"/>
                <w:sz w:val="18"/>
                <w:szCs w:val="20"/>
              </w:rPr>
            </w:pPr>
            <w:r w:rsidRPr="00694D67">
              <w:rPr>
                <w:rFonts w:cs="Arial"/>
                <w:sz w:val="18"/>
                <w:szCs w:val="20"/>
              </w:rPr>
              <w:t>Identification and mitiga</w:t>
            </w:r>
            <w:r w:rsidR="004D073F">
              <w:rPr>
                <w:rFonts w:cs="Arial"/>
                <w:sz w:val="18"/>
                <w:szCs w:val="20"/>
              </w:rPr>
              <w:t>tion of potential people</w:t>
            </w:r>
            <w:r w:rsidR="00025565">
              <w:rPr>
                <w:rFonts w:cs="Arial"/>
                <w:sz w:val="18"/>
                <w:szCs w:val="20"/>
              </w:rPr>
              <w:t xml:space="preserve"> risks in Cyprus</w:t>
            </w:r>
          </w:p>
          <w:p w:rsidR="00745A24" w:rsidRPr="004D073F" w:rsidRDefault="000A58C2" w:rsidP="004D073F">
            <w:pPr>
              <w:pStyle w:val="ListParagraph"/>
              <w:numPr>
                <w:ilvl w:val="0"/>
                <w:numId w:val="3"/>
              </w:numPr>
              <w:spacing w:line="312" w:lineRule="auto"/>
              <w:rPr>
                <w:rFonts w:cs="Arial"/>
                <w:color w:val="000000" w:themeColor="text1"/>
                <w:szCs w:val="20"/>
                <w:lang w:val="en-GB"/>
              </w:rPr>
            </w:pPr>
            <w:r>
              <w:rPr>
                <w:rFonts w:cs="Arial"/>
                <w:sz w:val="18"/>
                <w:szCs w:val="20"/>
              </w:rPr>
              <w:t xml:space="preserve">Defence and Government Services </w:t>
            </w:r>
            <w:r w:rsidR="00306FEC" w:rsidRPr="00694D67">
              <w:rPr>
                <w:rFonts w:cs="Arial"/>
                <w:sz w:val="18"/>
                <w:szCs w:val="20"/>
              </w:rPr>
              <w:t>HR plans and targets achieved through effective management of performance</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7B1AAE" w:rsidRDefault="007B1AAE" w:rsidP="007B1AAE">
            <w:pPr>
              <w:pStyle w:val="Puces4"/>
              <w:numPr>
                <w:ilvl w:val="0"/>
                <w:numId w:val="3"/>
              </w:numPr>
            </w:pPr>
            <w:r>
              <w:t xml:space="preserve">Substantial HR generalist experience with a professional approach and commercial acumen </w:t>
            </w:r>
          </w:p>
          <w:p w:rsidR="007B1AAE" w:rsidRDefault="007B1AAE" w:rsidP="007B1AAE">
            <w:pPr>
              <w:pStyle w:val="Puces4"/>
              <w:numPr>
                <w:ilvl w:val="0"/>
                <w:numId w:val="3"/>
              </w:numPr>
            </w:pPr>
            <w:r>
              <w:t>Strong senior level influencer and experienced in business partnering with stakeholder management skills</w:t>
            </w:r>
          </w:p>
          <w:p w:rsidR="007B1AAE" w:rsidRDefault="007B1AAE" w:rsidP="007B1AAE">
            <w:pPr>
              <w:pStyle w:val="Puces4"/>
              <w:numPr>
                <w:ilvl w:val="0"/>
                <w:numId w:val="3"/>
              </w:numPr>
            </w:pPr>
            <w:r>
              <w:t xml:space="preserve">Excellent interpersonal, communication and presentation skills </w:t>
            </w:r>
          </w:p>
          <w:p w:rsidR="007B1AAE" w:rsidRDefault="007B1AAE" w:rsidP="007B1AAE">
            <w:pPr>
              <w:pStyle w:val="Puces4"/>
              <w:numPr>
                <w:ilvl w:val="0"/>
                <w:numId w:val="3"/>
              </w:numPr>
            </w:pPr>
            <w:r>
              <w:t xml:space="preserve">Passion to drive through the people strategy with strong facilitation and coaching skills </w:t>
            </w:r>
          </w:p>
          <w:p w:rsidR="007B1AAE" w:rsidRDefault="007B1AAE" w:rsidP="007B1AAE">
            <w:pPr>
              <w:pStyle w:val="Puces4"/>
              <w:numPr>
                <w:ilvl w:val="0"/>
                <w:numId w:val="3"/>
              </w:numPr>
            </w:pPr>
            <w:r>
              <w:t xml:space="preserve">Experience of organisational development and design with facilitation of change </w:t>
            </w:r>
          </w:p>
          <w:p w:rsidR="005D24E6" w:rsidRDefault="000D7541" w:rsidP="007B1AAE">
            <w:pPr>
              <w:pStyle w:val="Puces4"/>
              <w:numPr>
                <w:ilvl w:val="0"/>
                <w:numId w:val="3"/>
              </w:numPr>
            </w:pPr>
            <w:r>
              <w:t>Experience of working with multiple trade unions</w:t>
            </w:r>
            <w:bookmarkStart w:id="0" w:name="_GoBack"/>
            <w:bookmarkEnd w:id="0"/>
          </w:p>
          <w:p w:rsidR="007B1AAE" w:rsidRDefault="005D24E6" w:rsidP="007B1AAE">
            <w:pPr>
              <w:pStyle w:val="Puces4"/>
              <w:numPr>
                <w:ilvl w:val="0"/>
                <w:numId w:val="3"/>
              </w:numPr>
            </w:pPr>
            <w:r>
              <w:t>CIPD qualified</w:t>
            </w:r>
          </w:p>
          <w:p w:rsidR="00EA3990" w:rsidRPr="004238D8" w:rsidRDefault="00EA3990" w:rsidP="007B1AAE">
            <w:pPr>
              <w:pStyle w:val="Puces4"/>
              <w:numPr>
                <w:ilvl w:val="0"/>
                <w:numId w:val="0"/>
              </w:numPr>
              <w:ind w:left="720"/>
            </w:pPr>
          </w:p>
        </w:tc>
      </w:tr>
    </w:tbl>
    <w:p w:rsidR="007F02BF" w:rsidRDefault="00D84FE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D84FE5">
                  <w:pPr>
                    <w:pStyle w:val="Puces4"/>
                    <w:framePr w:hSpace="180" w:wrap="around" w:vAnchor="text" w:hAnchor="margin" w:xAlign="center" w:y="192"/>
                    <w:numPr>
                      <w:ilvl w:val="0"/>
                      <w:numId w:val="18"/>
                    </w:numPr>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D84FE5">
                  <w:pPr>
                    <w:pStyle w:val="Puces4"/>
                    <w:framePr w:hSpace="180" w:wrap="around" w:vAnchor="text" w:hAnchor="margin" w:xAlign="center" w:y="192"/>
                    <w:numPr>
                      <w:ilvl w:val="0"/>
                      <w:numId w:val="18"/>
                    </w:numPr>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D84FE5">
                  <w:pPr>
                    <w:pStyle w:val="Puces4"/>
                    <w:framePr w:hSpace="180" w:wrap="around" w:vAnchor="text" w:hAnchor="margin" w:xAlign="center" w:y="192"/>
                    <w:numPr>
                      <w:ilvl w:val="0"/>
                      <w:numId w:val="18"/>
                    </w:numPr>
                    <w:rPr>
                      <w:rFonts w:eastAsia="Times New Roman"/>
                    </w:rPr>
                  </w:pPr>
                  <w:r>
                    <w:rPr>
                      <w:rFonts w:eastAsia="Times New Roman"/>
                    </w:rPr>
                    <w:t>Rigorous management of results</w:t>
                  </w:r>
                </w:p>
              </w:tc>
              <w:tc>
                <w:tcPr>
                  <w:tcW w:w="4524" w:type="dxa"/>
                </w:tcPr>
                <w:p w:rsidR="00EA3990" w:rsidRPr="00375F11" w:rsidRDefault="00EA3990" w:rsidP="00D84FE5">
                  <w:pPr>
                    <w:pStyle w:val="Puces4"/>
                    <w:framePr w:hSpace="180" w:wrap="around" w:vAnchor="text" w:hAnchor="margin" w:xAlign="center" w:y="192"/>
                    <w:numPr>
                      <w:ilvl w:val="0"/>
                      <w:numId w:val="18"/>
                    </w:numPr>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D84FE5">
                  <w:pPr>
                    <w:pStyle w:val="Puces4"/>
                    <w:framePr w:hSpace="180" w:wrap="around" w:vAnchor="text" w:hAnchor="margin" w:xAlign="center" w:y="192"/>
                    <w:numPr>
                      <w:ilvl w:val="0"/>
                      <w:numId w:val="18"/>
                    </w:numPr>
                    <w:rPr>
                      <w:rFonts w:eastAsia="Times New Roman"/>
                    </w:rPr>
                  </w:pPr>
                  <w:r>
                    <w:rPr>
                      <w:rFonts w:eastAsia="Times New Roman"/>
                    </w:rPr>
                    <w:t>Brand Notoriety</w:t>
                  </w:r>
                </w:p>
              </w:tc>
              <w:tc>
                <w:tcPr>
                  <w:tcW w:w="4524" w:type="dxa"/>
                </w:tcPr>
                <w:p w:rsidR="00EA3990" w:rsidRPr="00375F11" w:rsidRDefault="00EA3990" w:rsidP="00D84FE5">
                  <w:pPr>
                    <w:pStyle w:val="Puces4"/>
                    <w:framePr w:hSpace="180" w:wrap="around" w:vAnchor="text" w:hAnchor="margin" w:xAlign="center" w:y="192"/>
                    <w:numPr>
                      <w:ilvl w:val="0"/>
                      <w:numId w:val="18"/>
                    </w:numPr>
                    <w:rPr>
                      <w:rFonts w:eastAsia="Times New Roman"/>
                    </w:rPr>
                  </w:pPr>
                  <w:r>
                    <w:rPr>
                      <w:rFonts w:eastAsia="Times New Roman"/>
                    </w:rPr>
                    <w:t>Business Consulting</w:t>
                  </w:r>
                </w:p>
              </w:tc>
            </w:tr>
            <w:tr w:rsidR="00EA3990" w:rsidTr="0007446E">
              <w:tc>
                <w:tcPr>
                  <w:tcW w:w="4473" w:type="dxa"/>
                </w:tcPr>
                <w:p w:rsidR="00EA3990" w:rsidRDefault="00EA3990" w:rsidP="00D84FE5">
                  <w:pPr>
                    <w:pStyle w:val="Puces4"/>
                    <w:framePr w:hSpace="180" w:wrap="around" w:vAnchor="text" w:hAnchor="margin" w:xAlign="center" w:y="192"/>
                    <w:numPr>
                      <w:ilvl w:val="0"/>
                      <w:numId w:val="18"/>
                    </w:numPr>
                    <w:rPr>
                      <w:rFonts w:eastAsia="Times New Roman"/>
                    </w:rPr>
                  </w:pPr>
                  <w:r>
                    <w:rPr>
                      <w:rFonts w:eastAsia="Times New Roman"/>
                    </w:rPr>
                    <w:t>Commercial Awareness</w:t>
                  </w:r>
                </w:p>
              </w:tc>
              <w:tc>
                <w:tcPr>
                  <w:tcW w:w="4524" w:type="dxa"/>
                </w:tcPr>
                <w:p w:rsidR="00EA3990" w:rsidRDefault="00EA3990" w:rsidP="00D84FE5">
                  <w:pPr>
                    <w:pStyle w:val="Puces4"/>
                    <w:framePr w:hSpace="180" w:wrap="around" w:vAnchor="text" w:hAnchor="margin" w:xAlign="center" w:y="192"/>
                    <w:numPr>
                      <w:ilvl w:val="0"/>
                      <w:numId w:val="18"/>
                    </w:numPr>
                    <w:rPr>
                      <w:rFonts w:eastAsia="Times New Roman"/>
                    </w:rPr>
                  </w:pPr>
                  <w:r>
                    <w:rPr>
                      <w:rFonts w:eastAsia="Times New Roman"/>
                    </w:rPr>
                    <w:t>HR Service Delivery</w:t>
                  </w:r>
                </w:p>
              </w:tc>
            </w:tr>
            <w:tr w:rsidR="00EA3990" w:rsidTr="0007446E">
              <w:tc>
                <w:tcPr>
                  <w:tcW w:w="4473" w:type="dxa"/>
                </w:tcPr>
                <w:p w:rsidR="00EA3990" w:rsidRDefault="00306FEC" w:rsidP="00D84FE5">
                  <w:pPr>
                    <w:pStyle w:val="Puces4"/>
                    <w:framePr w:hSpace="180" w:wrap="around" w:vAnchor="text" w:hAnchor="margin" w:xAlign="center" w:y="192"/>
                    <w:numPr>
                      <w:ilvl w:val="0"/>
                      <w:numId w:val="18"/>
                    </w:numPr>
                    <w:rPr>
                      <w:rFonts w:eastAsia="Times New Roman"/>
                    </w:rPr>
                  </w:pPr>
                  <w:r>
                    <w:rPr>
                      <w:rFonts w:eastAsia="Times New Roman"/>
                    </w:rPr>
                    <w:t xml:space="preserve">Relationship Management </w:t>
                  </w:r>
                </w:p>
              </w:tc>
              <w:tc>
                <w:tcPr>
                  <w:tcW w:w="4524" w:type="dxa"/>
                </w:tcPr>
                <w:p w:rsidR="00EA3990" w:rsidRDefault="00306FEC" w:rsidP="00D84FE5">
                  <w:pPr>
                    <w:pStyle w:val="Puces4"/>
                    <w:framePr w:hSpace="180" w:wrap="around" w:vAnchor="text" w:hAnchor="margin" w:xAlign="center" w:y="192"/>
                    <w:numPr>
                      <w:ilvl w:val="0"/>
                      <w:numId w:val="18"/>
                    </w:numPr>
                  </w:pPr>
                  <w:r>
                    <w:t xml:space="preserve">Resilience </w:t>
                  </w:r>
                </w:p>
              </w:tc>
            </w:tr>
            <w:tr w:rsidR="00EA3990" w:rsidTr="0007446E">
              <w:tc>
                <w:tcPr>
                  <w:tcW w:w="4473" w:type="dxa"/>
                </w:tcPr>
                <w:p w:rsidR="00EA3990" w:rsidRDefault="00306FEC" w:rsidP="00D84FE5">
                  <w:pPr>
                    <w:pStyle w:val="Puces4"/>
                    <w:framePr w:hSpace="180" w:wrap="around" w:vAnchor="text" w:hAnchor="margin" w:xAlign="center" w:y="192"/>
                    <w:numPr>
                      <w:ilvl w:val="0"/>
                      <w:numId w:val="18"/>
                    </w:numPr>
                    <w:rPr>
                      <w:rFonts w:eastAsia="Times New Roman"/>
                    </w:rPr>
                  </w:pPr>
                  <w:r>
                    <w:rPr>
                      <w:rFonts w:eastAsia="Times New Roman"/>
                    </w:rPr>
                    <w:t xml:space="preserve">Analysis &amp; Decision Making </w:t>
                  </w:r>
                </w:p>
              </w:tc>
              <w:tc>
                <w:tcPr>
                  <w:tcW w:w="4524" w:type="dxa"/>
                </w:tcPr>
                <w:p w:rsidR="00EA3990" w:rsidRDefault="00306FEC" w:rsidP="00D84FE5">
                  <w:pPr>
                    <w:pStyle w:val="Puces4"/>
                    <w:framePr w:hSpace="180" w:wrap="around" w:vAnchor="text" w:hAnchor="margin" w:xAlign="center" w:y="192"/>
                    <w:numPr>
                      <w:ilvl w:val="0"/>
                      <w:numId w:val="18"/>
                    </w:numPr>
                    <w:rPr>
                      <w:rFonts w:eastAsia="Times New Roman"/>
                    </w:rPr>
                  </w:pPr>
                  <w:r>
                    <w:rPr>
                      <w:rFonts w:eastAsia="Times New Roman"/>
                    </w:rPr>
                    <w:t xml:space="preserve">Impact &amp; Influence </w:t>
                  </w:r>
                </w:p>
              </w:tc>
            </w:tr>
          </w:tbl>
          <w:p w:rsidR="00EA3990" w:rsidRPr="00EA3990" w:rsidRDefault="00EA3990" w:rsidP="00EA3990">
            <w:pPr>
              <w:spacing w:before="40"/>
              <w:ind w:left="720"/>
              <w:jc w:val="left"/>
              <w:rPr>
                <w:rFonts w:cs="Arial"/>
                <w:color w:val="000000" w:themeColor="text1"/>
                <w:szCs w:val="20"/>
                <w:lang w:val="en-GB"/>
              </w:rPr>
            </w:pPr>
          </w:p>
        </w:tc>
      </w:tr>
    </w:tbl>
    <w:p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6.9pt;height:9.8pt" o:bullet="t">
        <v:imagedata r:id="rId1" o:title="carre-rouge"/>
      </v:shape>
    </w:pict>
  </w:numPicBullet>
  <w:abstractNum w:abstractNumId="0">
    <w:nsid w:val="02D96681"/>
    <w:multiLevelType w:val="hybridMultilevel"/>
    <w:tmpl w:val="AA06596E"/>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106479D0"/>
    <w:multiLevelType w:val="hybridMultilevel"/>
    <w:tmpl w:val="925078A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8010FD"/>
    <w:multiLevelType w:val="hybridMultilevel"/>
    <w:tmpl w:val="CE9CC54C"/>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363636"/>
    <w:multiLevelType w:val="hybridMultilevel"/>
    <w:tmpl w:val="C44ACFC0"/>
    <w:lvl w:ilvl="0" w:tplc="04090005">
      <w:start w:val="1"/>
      <w:numFmt w:val="bullet"/>
      <w:lvlText w:val=""/>
      <w:lvlJc w:val="left"/>
      <w:pPr>
        <w:ind w:left="1571" w:hanging="360"/>
      </w:pPr>
      <w:rPr>
        <w:rFonts w:ascii="Wingdings" w:hAnsi="Wingdings" w:hint="default"/>
        <w:color w:val="FF0000"/>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6">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nsid w:val="414B0AFB"/>
    <w:multiLevelType w:val="hybridMultilevel"/>
    <w:tmpl w:val="94AAB854"/>
    <w:lvl w:ilvl="0" w:tplc="E24E49EA">
      <w:start w:val="1"/>
      <w:numFmt w:val="bullet"/>
      <w:lvlText w:val="●"/>
      <w:lvlJc w:val="left"/>
      <w:pPr>
        <w:ind w:left="720" w:hanging="360"/>
      </w:pPr>
      <w:rPr>
        <w:rFonts w:ascii="Arial" w:hAnsi="Arial"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7">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2"/>
  </w:num>
  <w:num w:numId="4">
    <w:abstractNumId w:val="12"/>
  </w:num>
  <w:num w:numId="5">
    <w:abstractNumId w:val="7"/>
  </w:num>
  <w:num w:numId="6">
    <w:abstractNumId w:val="4"/>
  </w:num>
  <w:num w:numId="7">
    <w:abstractNumId w:val="14"/>
  </w:num>
  <w:num w:numId="8">
    <w:abstractNumId w:val="8"/>
  </w:num>
  <w:num w:numId="9">
    <w:abstractNumId w:val="17"/>
  </w:num>
  <w:num w:numId="10">
    <w:abstractNumId w:val="18"/>
  </w:num>
  <w:num w:numId="11">
    <w:abstractNumId w:val="11"/>
  </w:num>
  <w:num w:numId="12">
    <w:abstractNumId w:val="0"/>
  </w:num>
  <w:num w:numId="13">
    <w:abstractNumId w:val="15"/>
  </w:num>
  <w:num w:numId="14">
    <w:abstractNumId w:val="6"/>
  </w:num>
  <w:num w:numId="15">
    <w:abstractNumId w:val="16"/>
  </w:num>
  <w:num w:numId="16">
    <w:abstractNumId w:val="5"/>
  </w:num>
  <w:num w:numId="17">
    <w:abstractNumId w:val="3"/>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25565"/>
    <w:rsid w:val="00087EC7"/>
    <w:rsid w:val="000A58C2"/>
    <w:rsid w:val="000D7541"/>
    <w:rsid w:val="000E3EF7"/>
    <w:rsid w:val="00104BDE"/>
    <w:rsid w:val="00144E5D"/>
    <w:rsid w:val="001E39A4"/>
    <w:rsid w:val="001F1F6A"/>
    <w:rsid w:val="00293E5D"/>
    <w:rsid w:val="002B1DC6"/>
    <w:rsid w:val="0030111E"/>
    <w:rsid w:val="00306FEC"/>
    <w:rsid w:val="00366A73"/>
    <w:rsid w:val="003F059E"/>
    <w:rsid w:val="00403B75"/>
    <w:rsid w:val="004238D8"/>
    <w:rsid w:val="00424476"/>
    <w:rsid w:val="00440321"/>
    <w:rsid w:val="00482759"/>
    <w:rsid w:val="0048345F"/>
    <w:rsid w:val="004A5FEC"/>
    <w:rsid w:val="004D073F"/>
    <w:rsid w:val="004D170A"/>
    <w:rsid w:val="00520545"/>
    <w:rsid w:val="005D24E6"/>
    <w:rsid w:val="005E5B63"/>
    <w:rsid w:val="00613392"/>
    <w:rsid w:val="00616B0B"/>
    <w:rsid w:val="00646B79"/>
    <w:rsid w:val="00656519"/>
    <w:rsid w:val="00674674"/>
    <w:rsid w:val="006802C0"/>
    <w:rsid w:val="006A4541"/>
    <w:rsid w:val="006F1908"/>
    <w:rsid w:val="00745A24"/>
    <w:rsid w:val="007A52E6"/>
    <w:rsid w:val="007B1AAE"/>
    <w:rsid w:val="007D66D7"/>
    <w:rsid w:val="007F602D"/>
    <w:rsid w:val="00882455"/>
    <w:rsid w:val="008969AF"/>
    <w:rsid w:val="008B64DE"/>
    <w:rsid w:val="008D1A2B"/>
    <w:rsid w:val="009406CC"/>
    <w:rsid w:val="009D0D5C"/>
    <w:rsid w:val="00A135E8"/>
    <w:rsid w:val="00A37146"/>
    <w:rsid w:val="00AA13A1"/>
    <w:rsid w:val="00AB2A0C"/>
    <w:rsid w:val="00AD1DEC"/>
    <w:rsid w:val="00B70457"/>
    <w:rsid w:val="00C06CAA"/>
    <w:rsid w:val="00C30767"/>
    <w:rsid w:val="00C4467B"/>
    <w:rsid w:val="00C4695A"/>
    <w:rsid w:val="00C61430"/>
    <w:rsid w:val="00C87284"/>
    <w:rsid w:val="00CC0297"/>
    <w:rsid w:val="00CC2929"/>
    <w:rsid w:val="00D05FA4"/>
    <w:rsid w:val="00D84FE5"/>
    <w:rsid w:val="00D949FB"/>
    <w:rsid w:val="00DE5E49"/>
    <w:rsid w:val="00E25C83"/>
    <w:rsid w:val="00E31AA0"/>
    <w:rsid w:val="00E33C91"/>
    <w:rsid w:val="00E86121"/>
    <w:rsid w:val="00EA3990"/>
    <w:rsid w:val="00EA4C16"/>
    <w:rsid w:val="00EA5822"/>
    <w:rsid w:val="00EE42AB"/>
    <w:rsid w:val="00EF6ED7"/>
    <w:rsid w:val="00EF71E1"/>
    <w:rsid w:val="00F0670E"/>
    <w:rsid w:val="00F1625F"/>
    <w:rsid w:val="00F479E6"/>
    <w:rsid w:val="00F65AA4"/>
    <w:rsid w:val="00FC0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3FBA71-2B37-4B10-A101-232268C83F33}" type="doc">
      <dgm:prSet loTypeId="urn:microsoft.com/office/officeart/2005/8/layout/orgChart1" loCatId="hierarchy" qsTypeId="urn:microsoft.com/office/officeart/2005/8/quickstyle/simple2" qsCatId="simple" csTypeId="urn:microsoft.com/office/officeart/2005/8/colors/accent2_1" csCatId="accent2" phldr="1"/>
      <dgm:spPr/>
      <dgm:t>
        <a:bodyPr/>
        <a:lstStyle/>
        <a:p>
          <a:endParaRPr lang="en-GB"/>
        </a:p>
      </dgm:t>
    </dgm:pt>
    <dgm:pt modelId="{DAFD7BBE-4EFD-4C7C-B9B8-91A1BAE632E4}">
      <dgm:prSet phldrT="[Text]" custT="1"/>
      <dgm:spPr/>
      <dgm:t>
        <a:bodyPr/>
        <a:lstStyle/>
        <a:p>
          <a:r>
            <a:rPr lang="en-GB" sz="900" dirty="0" smtClean="0">
              <a:latin typeface="Arial" panose="020B0604020202020204" pitchFamily="34" charset="0"/>
              <a:cs typeface="Arial" panose="020B0604020202020204" pitchFamily="34" charset="0"/>
            </a:rPr>
            <a:t>HRD</a:t>
          </a:r>
        </a:p>
        <a:p>
          <a:r>
            <a:rPr lang="en-GB" sz="900" dirty="0" smtClean="0">
              <a:latin typeface="Arial" panose="020B0604020202020204" pitchFamily="34" charset="0"/>
              <a:cs typeface="Arial" panose="020B0604020202020204" pitchFamily="34" charset="0"/>
            </a:rPr>
            <a:t>Rachel James (.0) </a:t>
          </a:r>
          <a:endParaRPr lang="en-GB" sz="900" dirty="0">
            <a:latin typeface="Arial" panose="020B0604020202020204" pitchFamily="34" charset="0"/>
            <a:cs typeface="Arial" panose="020B0604020202020204" pitchFamily="34" charset="0"/>
          </a:endParaRPr>
        </a:p>
      </dgm:t>
    </dgm:pt>
    <dgm:pt modelId="{97024013-B392-4A81-854D-D98C23D9A7BB}" type="parTrans" cxnId="{3291ABD8-AB83-4647-8D20-12AE7DC5FF7D}">
      <dgm:prSet/>
      <dgm:spPr/>
      <dgm:t>
        <a:bodyPr/>
        <a:lstStyle/>
        <a:p>
          <a:endParaRPr lang="en-GB"/>
        </a:p>
      </dgm:t>
    </dgm:pt>
    <dgm:pt modelId="{EFF25A4B-2317-4480-95B0-F2B18DC4731D}" type="sibTrans" cxnId="{3291ABD8-AB83-4647-8D20-12AE7DC5FF7D}">
      <dgm:prSet/>
      <dgm:spPr/>
      <dgm:t>
        <a:bodyPr/>
        <a:lstStyle/>
        <a:p>
          <a:endParaRPr lang="en-GB"/>
        </a:p>
      </dgm:t>
    </dgm:pt>
    <dgm:pt modelId="{D6F69DF2-56E2-4C23-ABB6-FE277372A0BE}" type="asst">
      <dgm:prSet phldrT="[Text]" custT="1"/>
      <dgm:spPr/>
      <dgm:t>
        <a:bodyPr/>
        <a:lstStyle/>
        <a:p>
          <a:r>
            <a:rPr lang="en-GB" sz="800" dirty="0" smtClean="0">
              <a:latin typeface="Arial" panose="020B0604020202020204" pitchFamily="34" charset="0"/>
              <a:cs typeface="Arial" panose="020B0604020202020204" pitchFamily="34" charset="0"/>
            </a:rPr>
            <a:t>PA </a:t>
          </a:r>
        </a:p>
        <a:p>
          <a:r>
            <a:rPr lang="en-GB" sz="800" dirty="0" smtClean="0">
              <a:latin typeface="Arial" panose="020B0604020202020204" pitchFamily="34" charset="0"/>
              <a:cs typeface="Arial" panose="020B0604020202020204" pitchFamily="34" charset="0"/>
            </a:rPr>
            <a:t> Jo Titheridge</a:t>
          </a:r>
          <a:endParaRPr lang="en-GB" sz="1000" dirty="0"/>
        </a:p>
      </dgm:t>
    </dgm:pt>
    <dgm:pt modelId="{906A97BF-4786-429E-AF56-8D2656048025}" type="parTrans" cxnId="{8C644F1C-BF85-4041-9583-7A27CB7207F0}">
      <dgm:prSet/>
      <dgm:spPr/>
      <dgm:t>
        <a:bodyPr/>
        <a:lstStyle/>
        <a:p>
          <a:endParaRPr lang="en-GB"/>
        </a:p>
      </dgm:t>
    </dgm:pt>
    <dgm:pt modelId="{32B085E4-77A1-4230-ADDD-BA249E74AF5F}" type="sibTrans" cxnId="{8C644F1C-BF85-4041-9583-7A27CB7207F0}">
      <dgm:prSet/>
      <dgm:spPr/>
      <dgm:t>
        <a:bodyPr/>
        <a:lstStyle/>
        <a:p>
          <a:endParaRPr lang="en-GB"/>
        </a:p>
      </dgm:t>
    </dgm:pt>
    <dgm:pt modelId="{ED3883FB-EE49-4779-AE84-DDDEF05E1745}">
      <dgm:prSet phldrT="[Text]" custT="1"/>
      <dgm:spPr/>
      <dgm:t>
        <a:bodyPr/>
        <a:lstStyle/>
        <a:p>
          <a:r>
            <a:rPr lang="en-GB" sz="800" dirty="0" smtClean="0">
              <a:latin typeface="Arial" panose="020B0604020202020204" pitchFamily="34" charset="0"/>
              <a:cs typeface="Arial" panose="020B0604020202020204" pitchFamily="34" charset="0"/>
            </a:rPr>
            <a:t>HRBP Sodexo (Cyprus) Ltd </a:t>
          </a:r>
        </a:p>
      </dgm:t>
    </dgm:pt>
    <dgm:pt modelId="{84A89C1A-DE3B-43D5-8DE4-7EE6EB82C2A2}" type="parTrans" cxnId="{EBDC449E-816A-489C-8CAB-16CE2CC540A4}">
      <dgm:prSet/>
      <dgm:spPr/>
      <dgm:t>
        <a:bodyPr/>
        <a:lstStyle/>
        <a:p>
          <a:endParaRPr lang="en-GB"/>
        </a:p>
      </dgm:t>
    </dgm:pt>
    <dgm:pt modelId="{9603F466-6BFF-4D50-A0C3-11CCDCAF4F03}" type="sibTrans" cxnId="{EBDC449E-816A-489C-8CAB-16CE2CC540A4}">
      <dgm:prSet/>
      <dgm:spPr/>
      <dgm:t>
        <a:bodyPr/>
        <a:lstStyle/>
        <a:p>
          <a:endParaRPr lang="en-GB"/>
        </a:p>
      </dgm:t>
    </dgm:pt>
    <dgm:pt modelId="{2E09E0B4-427E-40D5-A359-71164476BBCE}">
      <dgm:prSet phldrT="[Text]" custT="1"/>
      <dgm:spPr/>
      <dgm:t>
        <a:bodyPr/>
        <a:lstStyle/>
        <a:p>
          <a:r>
            <a:rPr lang="en-GB" sz="800" dirty="0" smtClean="0">
              <a:latin typeface="Arial" panose="020B0604020202020204" pitchFamily="34" charset="0"/>
              <a:cs typeface="Arial" panose="020B0604020202020204" pitchFamily="34" charset="0"/>
            </a:rPr>
            <a:t>Contract HRBP's UK</a:t>
          </a:r>
        </a:p>
      </dgm:t>
    </dgm:pt>
    <dgm:pt modelId="{A08A7C1D-CD11-43A7-A778-58E93F062190}" type="parTrans" cxnId="{A315FC0C-9619-4F6D-A491-4286D8170450}">
      <dgm:prSet/>
      <dgm:spPr/>
      <dgm:t>
        <a:bodyPr/>
        <a:lstStyle/>
        <a:p>
          <a:endParaRPr lang="en-GB"/>
        </a:p>
      </dgm:t>
    </dgm:pt>
    <dgm:pt modelId="{FE8C0B38-E86A-40FA-8E90-6071A3376702}" type="sibTrans" cxnId="{A315FC0C-9619-4F6D-A491-4286D8170450}">
      <dgm:prSet/>
      <dgm:spPr/>
      <dgm:t>
        <a:bodyPr/>
        <a:lstStyle/>
        <a:p>
          <a:endParaRPr lang="en-GB"/>
        </a:p>
      </dgm:t>
    </dgm:pt>
    <dgm:pt modelId="{2D9BEB51-7E04-4246-9942-F02636B9DA51}">
      <dgm:prSet/>
      <dgm:spPr/>
      <dgm:t>
        <a:bodyPr/>
        <a:lstStyle/>
        <a:p>
          <a:endParaRPr lang="en-GB"/>
        </a:p>
      </dgm:t>
    </dgm:pt>
    <dgm:pt modelId="{A06ED62C-7252-43DE-9064-7D37646A2E0B}" type="parTrans" cxnId="{D6800F49-8F78-4DF1-AB6C-06C481EF0ECF}">
      <dgm:prSet/>
      <dgm:spPr/>
      <dgm:t>
        <a:bodyPr/>
        <a:lstStyle/>
        <a:p>
          <a:endParaRPr lang="en-GB"/>
        </a:p>
      </dgm:t>
    </dgm:pt>
    <dgm:pt modelId="{0D6356DE-DB15-4C34-98E6-DF2E81EEBA8B}" type="sibTrans" cxnId="{D6800F49-8F78-4DF1-AB6C-06C481EF0ECF}">
      <dgm:prSet/>
      <dgm:spPr/>
      <dgm:t>
        <a:bodyPr/>
        <a:lstStyle/>
        <a:p>
          <a:endParaRPr lang="en-GB"/>
        </a:p>
      </dgm:t>
    </dgm:pt>
    <dgm:pt modelId="{49FAC54B-02FE-4698-BE95-11C3E1909EBA}" type="pres">
      <dgm:prSet presAssocID="{DD3FBA71-2B37-4B10-A101-232268C83F33}" presName="hierChild1" presStyleCnt="0">
        <dgm:presLayoutVars>
          <dgm:orgChart val="1"/>
          <dgm:chPref val="1"/>
          <dgm:dir/>
          <dgm:animOne val="branch"/>
          <dgm:animLvl val="lvl"/>
          <dgm:resizeHandles/>
        </dgm:presLayoutVars>
      </dgm:prSet>
      <dgm:spPr/>
      <dgm:t>
        <a:bodyPr/>
        <a:lstStyle/>
        <a:p>
          <a:endParaRPr lang="en-GB"/>
        </a:p>
      </dgm:t>
    </dgm:pt>
    <dgm:pt modelId="{07A47133-DE53-4CB2-A35B-91DED097E8EE}" type="pres">
      <dgm:prSet presAssocID="{DAFD7BBE-4EFD-4C7C-B9B8-91A1BAE632E4}" presName="hierRoot1" presStyleCnt="0">
        <dgm:presLayoutVars>
          <dgm:hierBranch val="init"/>
        </dgm:presLayoutVars>
      </dgm:prSet>
      <dgm:spPr/>
    </dgm:pt>
    <dgm:pt modelId="{9656AD23-AB55-4CEC-AA1B-32186594FF46}" type="pres">
      <dgm:prSet presAssocID="{DAFD7BBE-4EFD-4C7C-B9B8-91A1BAE632E4}" presName="rootComposite1" presStyleCnt="0"/>
      <dgm:spPr/>
    </dgm:pt>
    <dgm:pt modelId="{8897E596-2B74-42AA-BD2C-00C1FA6E1024}" type="pres">
      <dgm:prSet presAssocID="{DAFD7BBE-4EFD-4C7C-B9B8-91A1BAE632E4}" presName="rootText1" presStyleLbl="node0" presStyleIdx="0" presStyleCnt="3" custScaleX="87918" custScaleY="69886" custLinFactX="5697" custLinFactNeighborX="100000" custLinFactNeighborY="-6822">
        <dgm:presLayoutVars>
          <dgm:chPref val="3"/>
        </dgm:presLayoutVars>
      </dgm:prSet>
      <dgm:spPr/>
      <dgm:t>
        <a:bodyPr/>
        <a:lstStyle/>
        <a:p>
          <a:endParaRPr lang="en-GB"/>
        </a:p>
      </dgm:t>
    </dgm:pt>
    <dgm:pt modelId="{4304C477-0627-4B29-938B-34BA9DE95667}" type="pres">
      <dgm:prSet presAssocID="{DAFD7BBE-4EFD-4C7C-B9B8-91A1BAE632E4}" presName="rootConnector1" presStyleLbl="node1" presStyleIdx="0" presStyleCnt="0"/>
      <dgm:spPr/>
      <dgm:t>
        <a:bodyPr/>
        <a:lstStyle/>
        <a:p>
          <a:endParaRPr lang="en-GB"/>
        </a:p>
      </dgm:t>
    </dgm:pt>
    <dgm:pt modelId="{3A471725-FD90-49A4-8DDF-63C71968EC6A}" type="pres">
      <dgm:prSet presAssocID="{DAFD7BBE-4EFD-4C7C-B9B8-91A1BAE632E4}" presName="hierChild2" presStyleCnt="0"/>
      <dgm:spPr/>
    </dgm:pt>
    <dgm:pt modelId="{807AA0D9-D477-4AA8-8D24-A5A7797C092F}" type="pres">
      <dgm:prSet presAssocID="{84A89C1A-DE3B-43D5-8DE4-7EE6EB82C2A2}" presName="Name37" presStyleLbl="parChTrans1D2" presStyleIdx="0" presStyleCnt="2"/>
      <dgm:spPr/>
      <dgm:t>
        <a:bodyPr/>
        <a:lstStyle/>
        <a:p>
          <a:endParaRPr lang="en-GB"/>
        </a:p>
      </dgm:t>
    </dgm:pt>
    <dgm:pt modelId="{2C4E4B6E-7466-4ECF-9D79-1ED6968D5C85}" type="pres">
      <dgm:prSet presAssocID="{ED3883FB-EE49-4779-AE84-DDDEF05E1745}" presName="hierRoot2" presStyleCnt="0">
        <dgm:presLayoutVars>
          <dgm:hierBranch val="init"/>
        </dgm:presLayoutVars>
      </dgm:prSet>
      <dgm:spPr/>
    </dgm:pt>
    <dgm:pt modelId="{E0D6793D-DD04-43A0-90D5-F8DCB8973A3B}" type="pres">
      <dgm:prSet presAssocID="{ED3883FB-EE49-4779-AE84-DDDEF05E1745}" presName="rootComposite" presStyleCnt="0"/>
      <dgm:spPr/>
    </dgm:pt>
    <dgm:pt modelId="{FA895B28-3EA3-47B9-8B7A-BF882D619078}" type="pres">
      <dgm:prSet presAssocID="{ED3883FB-EE49-4779-AE84-DDDEF05E1745}" presName="rootText" presStyleLbl="node2" presStyleIdx="0" presStyleCnt="1" custScaleX="117695" custScaleY="64034" custLinFactNeighborX="-28579" custLinFactNeighborY="-75926">
        <dgm:presLayoutVars>
          <dgm:chPref val="3"/>
        </dgm:presLayoutVars>
      </dgm:prSet>
      <dgm:spPr/>
      <dgm:t>
        <a:bodyPr/>
        <a:lstStyle/>
        <a:p>
          <a:endParaRPr lang="en-GB"/>
        </a:p>
      </dgm:t>
    </dgm:pt>
    <dgm:pt modelId="{041B9CD2-C722-473D-B964-D7CCD0213757}" type="pres">
      <dgm:prSet presAssocID="{ED3883FB-EE49-4779-AE84-DDDEF05E1745}" presName="rootConnector" presStyleLbl="node2" presStyleIdx="0" presStyleCnt="1"/>
      <dgm:spPr/>
      <dgm:t>
        <a:bodyPr/>
        <a:lstStyle/>
        <a:p>
          <a:endParaRPr lang="en-GB"/>
        </a:p>
      </dgm:t>
    </dgm:pt>
    <dgm:pt modelId="{FDD75F9E-E9A6-43E5-831B-4CAEBE7DA39A}" type="pres">
      <dgm:prSet presAssocID="{ED3883FB-EE49-4779-AE84-DDDEF05E1745}" presName="hierChild4" presStyleCnt="0"/>
      <dgm:spPr/>
    </dgm:pt>
    <dgm:pt modelId="{4CD82F53-9924-450E-A06D-0EE6BE32BC1B}" type="pres">
      <dgm:prSet presAssocID="{ED3883FB-EE49-4779-AE84-DDDEF05E1745}" presName="hierChild5" presStyleCnt="0"/>
      <dgm:spPr/>
    </dgm:pt>
    <dgm:pt modelId="{F2D99621-0178-42DB-AD98-FDF2C0394889}" type="pres">
      <dgm:prSet presAssocID="{DAFD7BBE-4EFD-4C7C-B9B8-91A1BAE632E4}" presName="hierChild3" presStyleCnt="0"/>
      <dgm:spPr/>
    </dgm:pt>
    <dgm:pt modelId="{8A296BD4-6E12-4F4C-B2E9-143A03E280E8}" type="pres">
      <dgm:prSet presAssocID="{906A97BF-4786-429E-AF56-8D2656048025}" presName="Name111" presStyleLbl="parChTrans1D2" presStyleIdx="1" presStyleCnt="2"/>
      <dgm:spPr/>
      <dgm:t>
        <a:bodyPr/>
        <a:lstStyle/>
        <a:p>
          <a:endParaRPr lang="en-GB"/>
        </a:p>
      </dgm:t>
    </dgm:pt>
    <dgm:pt modelId="{3F0C2408-364B-413A-89E0-37615F655C25}" type="pres">
      <dgm:prSet presAssocID="{D6F69DF2-56E2-4C23-ABB6-FE277372A0BE}" presName="hierRoot3" presStyleCnt="0">
        <dgm:presLayoutVars>
          <dgm:hierBranch val="init"/>
        </dgm:presLayoutVars>
      </dgm:prSet>
      <dgm:spPr/>
    </dgm:pt>
    <dgm:pt modelId="{EA0D1187-51C3-4ABA-ADAD-E2136E4502FF}" type="pres">
      <dgm:prSet presAssocID="{D6F69DF2-56E2-4C23-ABB6-FE277372A0BE}" presName="rootComposite3" presStyleCnt="0"/>
      <dgm:spPr/>
    </dgm:pt>
    <dgm:pt modelId="{4316332A-0501-48C3-A210-514A36F9DFCF}" type="pres">
      <dgm:prSet presAssocID="{D6F69DF2-56E2-4C23-ABB6-FE277372A0BE}" presName="rootText3" presStyleLbl="asst1" presStyleIdx="0" presStyleCnt="1" custScaleX="66460" custScaleY="68376" custLinFactNeighborX="-16886" custLinFactNeighborY="-46786">
        <dgm:presLayoutVars>
          <dgm:chPref val="3"/>
        </dgm:presLayoutVars>
      </dgm:prSet>
      <dgm:spPr/>
      <dgm:t>
        <a:bodyPr/>
        <a:lstStyle/>
        <a:p>
          <a:endParaRPr lang="en-GB"/>
        </a:p>
      </dgm:t>
    </dgm:pt>
    <dgm:pt modelId="{FB84BB60-07A7-4EDC-8477-7290480FB5FC}" type="pres">
      <dgm:prSet presAssocID="{D6F69DF2-56E2-4C23-ABB6-FE277372A0BE}" presName="rootConnector3" presStyleLbl="asst1" presStyleIdx="0" presStyleCnt="1"/>
      <dgm:spPr/>
      <dgm:t>
        <a:bodyPr/>
        <a:lstStyle/>
        <a:p>
          <a:endParaRPr lang="en-GB"/>
        </a:p>
      </dgm:t>
    </dgm:pt>
    <dgm:pt modelId="{46F95B50-71A8-40AA-86CC-FAC6448FFC22}" type="pres">
      <dgm:prSet presAssocID="{D6F69DF2-56E2-4C23-ABB6-FE277372A0BE}" presName="hierChild6" presStyleCnt="0"/>
      <dgm:spPr/>
    </dgm:pt>
    <dgm:pt modelId="{6D81BFDE-CD9D-413E-802C-63172DE02863}" type="pres">
      <dgm:prSet presAssocID="{D6F69DF2-56E2-4C23-ABB6-FE277372A0BE}" presName="hierChild7" presStyleCnt="0"/>
      <dgm:spPr/>
    </dgm:pt>
    <dgm:pt modelId="{0B0E6188-CA81-4D83-8668-BFA0F1110BD9}" type="pres">
      <dgm:prSet presAssocID="{2E09E0B4-427E-40D5-A359-71164476BBCE}" presName="hierRoot1" presStyleCnt="0">
        <dgm:presLayoutVars>
          <dgm:hierBranch val="init"/>
        </dgm:presLayoutVars>
      </dgm:prSet>
      <dgm:spPr/>
    </dgm:pt>
    <dgm:pt modelId="{B6F3A97E-7BA0-4FCB-9F07-9EE556C7A4AD}" type="pres">
      <dgm:prSet presAssocID="{2E09E0B4-427E-40D5-A359-71164476BBCE}" presName="rootComposite1" presStyleCnt="0"/>
      <dgm:spPr/>
    </dgm:pt>
    <dgm:pt modelId="{75023E59-163D-4965-BE06-E4959C55344A}" type="pres">
      <dgm:prSet presAssocID="{2E09E0B4-427E-40D5-A359-71164476BBCE}" presName="rootText1" presStyleLbl="node0" presStyleIdx="1" presStyleCnt="3" custScaleX="117695" custScaleY="64034" custLinFactY="74305" custLinFactNeighborX="-18416" custLinFactNeighborY="100000">
        <dgm:presLayoutVars>
          <dgm:chPref val="3"/>
        </dgm:presLayoutVars>
      </dgm:prSet>
      <dgm:spPr/>
      <dgm:t>
        <a:bodyPr/>
        <a:lstStyle/>
        <a:p>
          <a:endParaRPr lang="en-GB"/>
        </a:p>
      </dgm:t>
    </dgm:pt>
    <dgm:pt modelId="{4A910E37-81B5-4462-884C-AE17797481F3}" type="pres">
      <dgm:prSet presAssocID="{2E09E0B4-427E-40D5-A359-71164476BBCE}" presName="rootConnector1" presStyleLbl="node1" presStyleIdx="0" presStyleCnt="0"/>
      <dgm:spPr/>
      <dgm:t>
        <a:bodyPr/>
        <a:lstStyle/>
        <a:p>
          <a:endParaRPr lang="en-GB"/>
        </a:p>
      </dgm:t>
    </dgm:pt>
    <dgm:pt modelId="{041F54B3-914C-4D01-B9F2-2F7A3FCCBD01}" type="pres">
      <dgm:prSet presAssocID="{2E09E0B4-427E-40D5-A359-71164476BBCE}" presName="hierChild2" presStyleCnt="0"/>
      <dgm:spPr/>
    </dgm:pt>
    <dgm:pt modelId="{645C00CB-3D56-41B8-8B63-737AB2047834}" type="pres">
      <dgm:prSet presAssocID="{2E09E0B4-427E-40D5-A359-71164476BBCE}" presName="hierChild3" presStyleCnt="0"/>
      <dgm:spPr/>
    </dgm:pt>
    <dgm:pt modelId="{81F86881-5E27-47A2-BCF7-BF721C881171}" type="pres">
      <dgm:prSet presAssocID="{2D9BEB51-7E04-4246-9942-F02636B9DA51}" presName="hierRoot1" presStyleCnt="0">
        <dgm:presLayoutVars>
          <dgm:hierBranch val="init"/>
        </dgm:presLayoutVars>
      </dgm:prSet>
      <dgm:spPr/>
    </dgm:pt>
    <dgm:pt modelId="{428C61F6-4F30-4C59-9284-FA35234CD246}" type="pres">
      <dgm:prSet presAssocID="{2D9BEB51-7E04-4246-9942-F02636B9DA51}" presName="rootComposite1" presStyleCnt="0"/>
      <dgm:spPr/>
    </dgm:pt>
    <dgm:pt modelId="{A3FC65DF-8342-4C14-B550-D737BC6862EE}" type="pres">
      <dgm:prSet presAssocID="{2D9BEB51-7E04-4246-9942-F02636B9DA51}" presName="rootText1" presStyleLbl="node0" presStyleIdx="2" presStyleCnt="3" custScaleX="117695" custScaleY="64034" custLinFactY="75880" custLinFactNeighborX="-30858" custLinFactNeighborY="100000">
        <dgm:presLayoutVars>
          <dgm:chPref val="3"/>
        </dgm:presLayoutVars>
      </dgm:prSet>
      <dgm:spPr/>
      <dgm:t>
        <a:bodyPr/>
        <a:lstStyle/>
        <a:p>
          <a:endParaRPr lang="en-GB"/>
        </a:p>
      </dgm:t>
    </dgm:pt>
    <dgm:pt modelId="{1112698E-D35A-4042-A291-2BBCB3038497}" type="pres">
      <dgm:prSet presAssocID="{2D9BEB51-7E04-4246-9942-F02636B9DA51}" presName="rootConnector1" presStyleLbl="node1" presStyleIdx="0" presStyleCnt="0"/>
      <dgm:spPr/>
      <dgm:t>
        <a:bodyPr/>
        <a:lstStyle/>
        <a:p>
          <a:endParaRPr lang="en-GB"/>
        </a:p>
      </dgm:t>
    </dgm:pt>
    <dgm:pt modelId="{441DCFB4-1649-4AE2-969B-A84659FEE5D7}" type="pres">
      <dgm:prSet presAssocID="{2D9BEB51-7E04-4246-9942-F02636B9DA51}" presName="hierChild2" presStyleCnt="0"/>
      <dgm:spPr/>
    </dgm:pt>
    <dgm:pt modelId="{1019696C-CE89-4F94-B4F1-618F7084F7C6}" type="pres">
      <dgm:prSet presAssocID="{2D9BEB51-7E04-4246-9942-F02636B9DA51}" presName="hierChild3" presStyleCnt="0"/>
      <dgm:spPr/>
    </dgm:pt>
  </dgm:ptLst>
  <dgm:cxnLst>
    <dgm:cxn modelId="{57C67723-0353-46FA-BE30-2BBE69F7355A}" type="presOf" srcId="{2D9BEB51-7E04-4246-9942-F02636B9DA51}" destId="{A3FC65DF-8342-4C14-B550-D737BC6862EE}" srcOrd="0" destOrd="0" presId="urn:microsoft.com/office/officeart/2005/8/layout/orgChart1"/>
    <dgm:cxn modelId="{C4176A7C-48C4-400B-ADBB-BCC0ADCDFD2A}" type="presOf" srcId="{906A97BF-4786-429E-AF56-8D2656048025}" destId="{8A296BD4-6E12-4F4C-B2E9-143A03E280E8}" srcOrd="0" destOrd="0" presId="urn:microsoft.com/office/officeart/2005/8/layout/orgChart1"/>
    <dgm:cxn modelId="{2F94ABC9-B743-41C0-A333-70280CA6C935}" type="presOf" srcId="{ED3883FB-EE49-4779-AE84-DDDEF05E1745}" destId="{FA895B28-3EA3-47B9-8B7A-BF882D619078}" srcOrd="0" destOrd="0" presId="urn:microsoft.com/office/officeart/2005/8/layout/orgChart1"/>
    <dgm:cxn modelId="{1EFFB12B-E5AC-4966-AF78-B0BC6E9085E4}" type="presOf" srcId="{D6F69DF2-56E2-4C23-ABB6-FE277372A0BE}" destId="{4316332A-0501-48C3-A210-514A36F9DFCF}" srcOrd="0" destOrd="0" presId="urn:microsoft.com/office/officeart/2005/8/layout/orgChart1"/>
    <dgm:cxn modelId="{AA038335-E74D-467C-AAC3-79D579B226A0}" type="presOf" srcId="{DAFD7BBE-4EFD-4C7C-B9B8-91A1BAE632E4}" destId="{4304C477-0627-4B29-938B-34BA9DE95667}" srcOrd="1" destOrd="0" presId="urn:microsoft.com/office/officeart/2005/8/layout/orgChart1"/>
    <dgm:cxn modelId="{47A41E04-B2A3-42BD-823D-F59485070786}" type="presOf" srcId="{D6F69DF2-56E2-4C23-ABB6-FE277372A0BE}" destId="{FB84BB60-07A7-4EDC-8477-7290480FB5FC}" srcOrd="1" destOrd="0" presId="urn:microsoft.com/office/officeart/2005/8/layout/orgChart1"/>
    <dgm:cxn modelId="{5E5A92E6-34AD-4D01-A436-8EAFA2CDFF79}" type="presOf" srcId="{84A89C1A-DE3B-43D5-8DE4-7EE6EB82C2A2}" destId="{807AA0D9-D477-4AA8-8D24-A5A7797C092F}" srcOrd="0" destOrd="0" presId="urn:microsoft.com/office/officeart/2005/8/layout/orgChart1"/>
    <dgm:cxn modelId="{579A5BBB-B375-4D2D-AC03-79656E65CB84}" type="presOf" srcId="{2E09E0B4-427E-40D5-A359-71164476BBCE}" destId="{75023E59-163D-4965-BE06-E4959C55344A}" srcOrd="0" destOrd="0" presId="urn:microsoft.com/office/officeart/2005/8/layout/orgChart1"/>
    <dgm:cxn modelId="{D6800F49-8F78-4DF1-AB6C-06C481EF0ECF}" srcId="{DD3FBA71-2B37-4B10-A101-232268C83F33}" destId="{2D9BEB51-7E04-4246-9942-F02636B9DA51}" srcOrd="2" destOrd="0" parTransId="{A06ED62C-7252-43DE-9064-7D37646A2E0B}" sibTransId="{0D6356DE-DB15-4C34-98E6-DF2E81EEBA8B}"/>
    <dgm:cxn modelId="{E11C0C50-CBD7-4C50-9716-0C3C2EDEC3B1}" type="presOf" srcId="{2D9BEB51-7E04-4246-9942-F02636B9DA51}" destId="{1112698E-D35A-4042-A291-2BBCB3038497}" srcOrd="1" destOrd="0" presId="urn:microsoft.com/office/officeart/2005/8/layout/orgChart1"/>
    <dgm:cxn modelId="{98D6260D-A6A6-44F0-B77D-2DB653BEDE00}" type="presOf" srcId="{ED3883FB-EE49-4779-AE84-DDDEF05E1745}" destId="{041B9CD2-C722-473D-B964-D7CCD0213757}" srcOrd="1" destOrd="0" presId="urn:microsoft.com/office/officeart/2005/8/layout/orgChart1"/>
    <dgm:cxn modelId="{00DE0931-673A-4602-88A5-465D7A6EE254}" type="presOf" srcId="{2E09E0B4-427E-40D5-A359-71164476BBCE}" destId="{4A910E37-81B5-4462-884C-AE17797481F3}" srcOrd="1" destOrd="0" presId="urn:microsoft.com/office/officeart/2005/8/layout/orgChart1"/>
    <dgm:cxn modelId="{3291ABD8-AB83-4647-8D20-12AE7DC5FF7D}" srcId="{DD3FBA71-2B37-4B10-A101-232268C83F33}" destId="{DAFD7BBE-4EFD-4C7C-B9B8-91A1BAE632E4}" srcOrd="0" destOrd="0" parTransId="{97024013-B392-4A81-854D-D98C23D9A7BB}" sibTransId="{EFF25A4B-2317-4480-95B0-F2B18DC4731D}"/>
    <dgm:cxn modelId="{295550DC-A5CB-4A63-9932-D13D10A8D2DE}" type="presOf" srcId="{DAFD7BBE-4EFD-4C7C-B9B8-91A1BAE632E4}" destId="{8897E596-2B74-42AA-BD2C-00C1FA6E1024}" srcOrd="0" destOrd="0" presId="urn:microsoft.com/office/officeart/2005/8/layout/orgChart1"/>
    <dgm:cxn modelId="{EBDC449E-816A-489C-8CAB-16CE2CC540A4}" srcId="{DAFD7BBE-4EFD-4C7C-B9B8-91A1BAE632E4}" destId="{ED3883FB-EE49-4779-AE84-DDDEF05E1745}" srcOrd="1" destOrd="0" parTransId="{84A89C1A-DE3B-43D5-8DE4-7EE6EB82C2A2}" sibTransId="{9603F466-6BFF-4D50-A0C3-11CCDCAF4F03}"/>
    <dgm:cxn modelId="{0A2BBC44-7B81-4B1A-889C-1F223EF0330A}" type="presOf" srcId="{DD3FBA71-2B37-4B10-A101-232268C83F33}" destId="{49FAC54B-02FE-4698-BE95-11C3E1909EBA}" srcOrd="0" destOrd="0" presId="urn:microsoft.com/office/officeart/2005/8/layout/orgChart1"/>
    <dgm:cxn modelId="{A315FC0C-9619-4F6D-A491-4286D8170450}" srcId="{DD3FBA71-2B37-4B10-A101-232268C83F33}" destId="{2E09E0B4-427E-40D5-A359-71164476BBCE}" srcOrd="1" destOrd="0" parTransId="{A08A7C1D-CD11-43A7-A778-58E93F062190}" sibTransId="{FE8C0B38-E86A-40FA-8E90-6071A3376702}"/>
    <dgm:cxn modelId="{8C644F1C-BF85-4041-9583-7A27CB7207F0}" srcId="{DAFD7BBE-4EFD-4C7C-B9B8-91A1BAE632E4}" destId="{D6F69DF2-56E2-4C23-ABB6-FE277372A0BE}" srcOrd="0" destOrd="0" parTransId="{906A97BF-4786-429E-AF56-8D2656048025}" sibTransId="{32B085E4-77A1-4230-ADDD-BA249E74AF5F}"/>
    <dgm:cxn modelId="{B796DF69-3A91-4C77-8303-3050E7C1DF18}" type="presParOf" srcId="{49FAC54B-02FE-4698-BE95-11C3E1909EBA}" destId="{07A47133-DE53-4CB2-A35B-91DED097E8EE}" srcOrd="0" destOrd="0" presId="urn:microsoft.com/office/officeart/2005/8/layout/orgChart1"/>
    <dgm:cxn modelId="{DE9BD44F-DDD7-4778-A619-66622CFA9CBD}" type="presParOf" srcId="{07A47133-DE53-4CB2-A35B-91DED097E8EE}" destId="{9656AD23-AB55-4CEC-AA1B-32186594FF46}" srcOrd="0" destOrd="0" presId="urn:microsoft.com/office/officeart/2005/8/layout/orgChart1"/>
    <dgm:cxn modelId="{12756075-A31A-40DD-B223-204946540EBD}" type="presParOf" srcId="{9656AD23-AB55-4CEC-AA1B-32186594FF46}" destId="{8897E596-2B74-42AA-BD2C-00C1FA6E1024}" srcOrd="0" destOrd="0" presId="urn:microsoft.com/office/officeart/2005/8/layout/orgChart1"/>
    <dgm:cxn modelId="{62C198A2-04ED-44DC-AC16-79C07DB5161D}" type="presParOf" srcId="{9656AD23-AB55-4CEC-AA1B-32186594FF46}" destId="{4304C477-0627-4B29-938B-34BA9DE95667}" srcOrd="1" destOrd="0" presId="urn:microsoft.com/office/officeart/2005/8/layout/orgChart1"/>
    <dgm:cxn modelId="{AE202CF9-16F5-4E50-B3ED-6A666F272007}" type="presParOf" srcId="{07A47133-DE53-4CB2-A35B-91DED097E8EE}" destId="{3A471725-FD90-49A4-8DDF-63C71968EC6A}" srcOrd="1" destOrd="0" presId="urn:microsoft.com/office/officeart/2005/8/layout/orgChart1"/>
    <dgm:cxn modelId="{AD46F95D-4332-4C01-871F-2A081BA631A1}" type="presParOf" srcId="{3A471725-FD90-49A4-8DDF-63C71968EC6A}" destId="{807AA0D9-D477-4AA8-8D24-A5A7797C092F}" srcOrd="0" destOrd="0" presId="urn:microsoft.com/office/officeart/2005/8/layout/orgChart1"/>
    <dgm:cxn modelId="{ED8F0104-FA95-468A-A7C7-7372E6A8D660}" type="presParOf" srcId="{3A471725-FD90-49A4-8DDF-63C71968EC6A}" destId="{2C4E4B6E-7466-4ECF-9D79-1ED6968D5C85}" srcOrd="1" destOrd="0" presId="urn:microsoft.com/office/officeart/2005/8/layout/orgChart1"/>
    <dgm:cxn modelId="{50E9D616-0F63-4E5C-9AA1-9E3BC2A29A42}" type="presParOf" srcId="{2C4E4B6E-7466-4ECF-9D79-1ED6968D5C85}" destId="{E0D6793D-DD04-43A0-90D5-F8DCB8973A3B}" srcOrd="0" destOrd="0" presId="urn:microsoft.com/office/officeart/2005/8/layout/orgChart1"/>
    <dgm:cxn modelId="{3A0C0526-2D4A-4308-9E1C-6466678ECDC8}" type="presParOf" srcId="{E0D6793D-DD04-43A0-90D5-F8DCB8973A3B}" destId="{FA895B28-3EA3-47B9-8B7A-BF882D619078}" srcOrd="0" destOrd="0" presId="urn:microsoft.com/office/officeart/2005/8/layout/orgChart1"/>
    <dgm:cxn modelId="{6002D6A9-4A8D-4916-AB60-67E86DA4C87B}" type="presParOf" srcId="{E0D6793D-DD04-43A0-90D5-F8DCB8973A3B}" destId="{041B9CD2-C722-473D-B964-D7CCD0213757}" srcOrd="1" destOrd="0" presId="urn:microsoft.com/office/officeart/2005/8/layout/orgChart1"/>
    <dgm:cxn modelId="{00A84B7F-FC19-4279-9586-F6DC4CBB1351}" type="presParOf" srcId="{2C4E4B6E-7466-4ECF-9D79-1ED6968D5C85}" destId="{FDD75F9E-E9A6-43E5-831B-4CAEBE7DA39A}" srcOrd="1" destOrd="0" presId="urn:microsoft.com/office/officeart/2005/8/layout/orgChart1"/>
    <dgm:cxn modelId="{599A767E-2693-4048-B83C-5FE4C58890CE}" type="presParOf" srcId="{2C4E4B6E-7466-4ECF-9D79-1ED6968D5C85}" destId="{4CD82F53-9924-450E-A06D-0EE6BE32BC1B}" srcOrd="2" destOrd="0" presId="urn:microsoft.com/office/officeart/2005/8/layout/orgChart1"/>
    <dgm:cxn modelId="{DDEF3C64-CE82-4DDE-8E4D-6688DB47D6AB}" type="presParOf" srcId="{07A47133-DE53-4CB2-A35B-91DED097E8EE}" destId="{F2D99621-0178-42DB-AD98-FDF2C0394889}" srcOrd="2" destOrd="0" presId="urn:microsoft.com/office/officeart/2005/8/layout/orgChart1"/>
    <dgm:cxn modelId="{E20F73A6-7369-4E1B-82D4-5C041FFF80DF}" type="presParOf" srcId="{F2D99621-0178-42DB-AD98-FDF2C0394889}" destId="{8A296BD4-6E12-4F4C-B2E9-143A03E280E8}" srcOrd="0" destOrd="0" presId="urn:microsoft.com/office/officeart/2005/8/layout/orgChart1"/>
    <dgm:cxn modelId="{F6D3A07D-0038-41E6-BD01-BF2CECFDBF4A}" type="presParOf" srcId="{F2D99621-0178-42DB-AD98-FDF2C0394889}" destId="{3F0C2408-364B-413A-89E0-37615F655C25}" srcOrd="1" destOrd="0" presId="urn:microsoft.com/office/officeart/2005/8/layout/orgChart1"/>
    <dgm:cxn modelId="{2AC4958C-413B-4523-A7F7-19EF86FB4D3D}" type="presParOf" srcId="{3F0C2408-364B-413A-89E0-37615F655C25}" destId="{EA0D1187-51C3-4ABA-ADAD-E2136E4502FF}" srcOrd="0" destOrd="0" presId="urn:microsoft.com/office/officeart/2005/8/layout/orgChart1"/>
    <dgm:cxn modelId="{3002BECC-BAE3-4058-8C78-5C6C07FD49C2}" type="presParOf" srcId="{EA0D1187-51C3-4ABA-ADAD-E2136E4502FF}" destId="{4316332A-0501-48C3-A210-514A36F9DFCF}" srcOrd="0" destOrd="0" presId="urn:microsoft.com/office/officeart/2005/8/layout/orgChart1"/>
    <dgm:cxn modelId="{DBEEB8CB-E972-478E-A3BB-3D99D97AE819}" type="presParOf" srcId="{EA0D1187-51C3-4ABA-ADAD-E2136E4502FF}" destId="{FB84BB60-07A7-4EDC-8477-7290480FB5FC}" srcOrd="1" destOrd="0" presId="urn:microsoft.com/office/officeart/2005/8/layout/orgChart1"/>
    <dgm:cxn modelId="{4FCA3200-1C0F-4101-8144-A971797866E2}" type="presParOf" srcId="{3F0C2408-364B-413A-89E0-37615F655C25}" destId="{46F95B50-71A8-40AA-86CC-FAC6448FFC22}" srcOrd="1" destOrd="0" presId="urn:microsoft.com/office/officeart/2005/8/layout/orgChart1"/>
    <dgm:cxn modelId="{0DC87A9A-10FA-4189-A8B6-6E30388075D8}" type="presParOf" srcId="{3F0C2408-364B-413A-89E0-37615F655C25}" destId="{6D81BFDE-CD9D-413E-802C-63172DE02863}" srcOrd="2" destOrd="0" presId="urn:microsoft.com/office/officeart/2005/8/layout/orgChart1"/>
    <dgm:cxn modelId="{557195BB-64FB-4478-88F2-D030552E44D5}" type="presParOf" srcId="{49FAC54B-02FE-4698-BE95-11C3E1909EBA}" destId="{0B0E6188-CA81-4D83-8668-BFA0F1110BD9}" srcOrd="1" destOrd="0" presId="urn:microsoft.com/office/officeart/2005/8/layout/orgChart1"/>
    <dgm:cxn modelId="{7D5D5119-FFD1-4B6B-BD96-F47BD584ADC8}" type="presParOf" srcId="{0B0E6188-CA81-4D83-8668-BFA0F1110BD9}" destId="{B6F3A97E-7BA0-4FCB-9F07-9EE556C7A4AD}" srcOrd="0" destOrd="0" presId="urn:microsoft.com/office/officeart/2005/8/layout/orgChart1"/>
    <dgm:cxn modelId="{51D963DA-232E-4DC3-99DD-5CFA726BAA68}" type="presParOf" srcId="{B6F3A97E-7BA0-4FCB-9F07-9EE556C7A4AD}" destId="{75023E59-163D-4965-BE06-E4959C55344A}" srcOrd="0" destOrd="0" presId="urn:microsoft.com/office/officeart/2005/8/layout/orgChart1"/>
    <dgm:cxn modelId="{D5F12710-606C-42B8-BB9C-AD0AC1803C4F}" type="presParOf" srcId="{B6F3A97E-7BA0-4FCB-9F07-9EE556C7A4AD}" destId="{4A910E37-81B5-4462-884C-AE17797481F3}" srcOrd="1" destOrd="0" presId="urn:microsoft.com/office/officeart/2005/8/layout/orgChart1"/>
    <dgm:cxn modelId="{CD0FED4C-8D7E-495C-85FE-832FDE911193}" type="presParOf" srcId="{0B0E6188-CA81-4D83-8668-BFA0F1110BD9}" destId="{041F54B3-914C-4D01-B9F2-2F7A3FCCBD01}" srcOrd="1" destOrd="0" presId="urn:microsoft.com/office/officeart/2005/8/layout/orgChart1"/>
    <dgm:cxn modelId="{DC456893-F76A-44E7-8DD1-64722DACDA6E}" type="presParOf" srcId="{0B0E6188-CA81-4D83-8668-BFA0F1110BD9}" destId="{645C00CB-3D56-41B8-8B63-737AB2047834}" srcOrd="2" destOrd="0" presId="urn:microsoft.com/office/officeart/2005/8/layout/orgChart1"/>
    <dgm:cxn modelId="{D3F45CDD-D853-41F8-8EE6-0785F8E4D26A}" type="presParOf" srcId="{49FAC54B-02FE-4698-BE95-11C3E1909EBA}" destId="{81F86881-5E27-47A2-BCF7-BF721C881171}" srcOrd="2" destOrd="0" presId="urn:microsoft.com/office/officeart/2005/8/layout/orgChart1"/>
    <dgm:cxn modelId="{D34439E2-5511-4D2F-95CC-19C0212A867B}" type="presParOf" srcId="{81F86881-5E27-47A2-BCF7-BF721C881171}" destId="{428C61F6-4F30-4C59-9284-FA35234CD246}" srcOrd="0" destOrd="0" presId="urn:microsoft.com/office/officeart/2005/8/layout/orgChart1"/>
    <dgm:cxn modelId="{2DDBBDBA-A00F-429D-80D9-D05D9E9A8DC2}" type="presParOf" srcId="{428C61F6-4F30-4C59-9284-FA35234CD246}" destId="{A3FC65DF-8342-4C14-B550-D737BC6862EE}" srcOrd="0" destOrd="0" presId="urn:microsoft.com/office/officeart/2005/8/layout/orgChart1"/>
    <dgm:cxn modelId="{D03E577A-7E3D-4814-ADE2-3710177894CB}" type="presParOf" srcId="{428C61F6-4F30-4C59-9284-FA35234CD246}" destId="{1112698E-D35A-4042-A291-2BBCB3038497}" srcOrd="1" destOrd="0" presId="urn:microsoft.com/office/officeart/2005/8/layout/orgChart1"/>
    <dgm:cxn modelId="{54923998-D8C3-40C2-8859-E2AB6BCED0DC}" type="presParOf" srcId="{81F86881-5E27-47A2-BCF7-BF721C881171}" destId="{441DCFB4-1649-4AE2-969B-A84659FEE5D7}" srcOrd="1" destOrd="0" presId="urn:microsoft.com/office/officeart/2005/8/layout/orgChart1"/>
    <dgm:cxn modelId="{0F6BA15C-6F3A-478E-AF9A-2C8700766E0B}" type="presParOf" srcId="{81F86881-5E27-47A2-BCF7-BF721C881171}" destId="{1019696C-CE89-4F94-B4F1-618F7084F7C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296BD4-6E12-4F4C-B2E9-143A03E280E8}">
      <dsp:nvSpPr>
        <dsp:cNvPr id="0" name=""/>
        <dsp:cNvSpPr/>
      </dsp:nvSpPr>
      <dsp:spPr>
        <a:xfrm>
          <a:off x="853377" y="741294"/>
          <a:ext cx="1708844" cy="334083"/>
        </a:xfrm>
        <a:custGeom>
          <a:avLst/>
          <a:gdLst/>
          <a:ahLst/>
          <a:cxnLst/>
          <a:rect l="0" t="0" r="0" b="0"/>
          <a:pathLst>
            <a:path>
              <a:moveTo>
                <a:pt x="1708844" y="0"/>
              </a:moveTo>
              <a:lnTo>
                <a:pt x="1708844" y="334083"/>
              </a:lnTo>
              <a:lnTo>
                <a:pt x="0" y="334083"/>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7AA0D9-D477-4AA8-8D24-A5A7797C092F}">
      <dsp:nvSpPr>
        <dsp:cNvPr id="0" name=""/>
        <dsp:cNvSpPr/>
      </dsp:nvSpPr>
      <dsp:spPr>
        <a:xfrm>
          <a:off x="838055" y="741294"/>
          <a:ext cx="1724166" cy="737659"/>
        </a:xfrm>
        <a:custGeom>
          <a:avLst/>
          <a:gdLst/>
          <a:ahLst/>
          <a:cxnLst/>
          <a:rect l="0" t="0" r="0" b="0"/>
          <a:pathLst>
            <a:path>
              <a:moveTo>
                <a:pt x="1724166" y="0"/>
              </a:moveTo>
              <a:lnTo>
                <a:pt x="1724166" y="602834"/>
              </a:lnTo>
              <a:lnTo>
                <a:pt x="0" y="602834"/>
              </a:lnTo>
              <a:lnTo>
                <a:pt x="0" y="73765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897E596-2B74-42AA-BD2C-00C1FA6E1024}">
      <dsp:nvSpPr>
        <dsp:cNvPr id="0" name=""/>
        <dsp:cNvSpPr/>
      </dsp:nvSpPr>
      <dsp:spPr>
        <a:xfrm>
          <a:off x="1997768" y="292610"/>
          <a:ext cx="1128908" cy="448684"/>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GB" sz="900" kern="1200" dirty="0" smtClean="0">
              <a:latin typeface="Arial" panose="020B0604020202020204" pitchFamily="34" charset="0"/>
              <a:cs typeface="Arial" panose="020B0604020202020204" pitchFamily="34" charset="0"/>
            </a:rPr>
            <a:t>HRD</a:t>
          </a:r>
        </a:p>
        <a:p>
          <a:pPr lvl="0" algn="ctr" defTabSz="400050">
            <a:lnSpc>
              <a:spcPct val="90000"/>
            </a:lnSpc>
            <a:spcBef>
              <a:spcPct val="0"/>
            </a:spcBef>
            <a:spcAft>
              <a:spcPct val="35000"/>
            </a:spcAft>
          </a:pPr>
          <a:r>
            <a:rPr lang="en-GB" sz="900" kern="1200" dirty="0" smtClean="0">
              <a:latin typeface="Arial" panose="020B0604020202020204" pitchFamily="34" charset="0"/>
              <a:cs typeface="Arial" panose="020B0604020202020204" pitchFamily="34" charset="0"/>
            </a:rPr>
            <a:t>Rachel James (.0) </a:t>
          </a:r>
          <a:endParaRPr lang="en-GB" sz="900" kern="1200" dirty="0">
            <a:latin typeface="Arial" panose="020B0604020202020204" pitchFamily="34" charset="0"/>
            <a:cs typeface="Arial" panose="020B0604020202020204" pitchFamily="34" charset="0"/>
          </a:endParaRPr>
        </a:p>
      </dsp:txBody>
      <dsp:txXfrm>
        <a:off x="1997768" y="292610"/>
        <a:ext cx="1128908" cy="448684"/>
      </dsp:txXfrm>
    </dsp:sp>
    <dsp:sp modelId="{FA895B28-3EA3-47B9-8B7A-BF882D619078}">
      <dsp:nvSpPr>
        <dsp:cNvPr id="0" name=""/>
        <dsp:cNvSpPr/>
      </dsp:nvSpPr>
      <dsp:spPr>
        <a:xfrm>
          <a:off x="82426" y="1478953"/>
          <a:ext cx="1511258" cy="411113"/>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latin typeface="Arial" panose="020B0604020202020204" pitchFamily="34" charset="0"/>
              <a:cs typeface="Arial" panose="020B0604020202020204" pitchFamily="34" charset="0"/>
            </a:rPr>
            <a:t>HRBP Sodexo (Cyprus) Ltd </a:t>
          </a:r>
        </a:p>
      </dsp:txBody>
      <dsp:txXfrm>
        <a:off x="82426" y="1478953"/>
        <a:ext cx="1511258" cy="411113"/>
      </dsp:txXfrm>
    </dsp:sp>
    <dsp:sp modelId="{4316332A-0501-48C3-A210-514A36F9DFCF}">
      <dsp:nvSpPr>
        <dsp:cNvPr id="0" name=""/>
        <dsp:cNvSpPr/>
      </dsp:nvSpPr>
      <dsp:spPr>
        <a:xfrm>
          <a:off x="0" y="855883"/>
          <a:ext cx="853377" cy="43898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latin typeface="Arial" panose="020B0604020202020204" pitchFamily="34" charset="0"/>
              <a:cs typeface="Arial" panose="020B0604020202020204" pitchFamily="34" charset="0"/>
            </a:rPr>
            <a:t>PA </a:t>
          </a:r>
        </a:p>
        <a:p>
          <a:pPr lvl="0" algn="ctr" defTabSz="355600">
            <a:lnSpc>
              <a:spcPct val="90000"/>
            </a:lnSpc>
            <a:spcBef>
              <a:spcPct val="0"/>
            </a:spcBef>
            <a:spcAft>
              <a:spcPct val="35000"/>
            </a:spcAft>
          </a:pPr>
          <a:r>
            <a:rPr lang="en-GB" sz="800" kern="1200" dirty="0" smtClean="0">
              <a:latin typeface="Arial" panose="020B0604020202020204" pitchFamily="34" charset="0"/>
              <a:cs typeface="Arial" panose="020B0604020202020204" pitchFamily="34" charset="0"/>
            </a:rPr>
            <a:t> Jo Titheridge</a:t>
          </a:r>
          <a:endParaRPr lang="en-GB" sz="1000" kern="1200" dirty="0"/>
        </a:p>
      </dsp:txBody>
      <dsp:txXfrm>
        <a:off x="0" y="855883"/>
        <a:ext cx="853377" cy="438989"/>
      </dsp:txXfrm>
    </dsp:sp>
    <dsp:sp modelId="{75023E59-163D-4965-BE06-E4959C55344A}">
      <dsp:nvSpPr>
        <dsp:cNvPr id="0" name=""/>
        <dsp:cNvSpPr/>
      </dsp:nvSpPr>
      <dsp:spPr>
        <a:xfrm>
          <a:off x="1802657" y="1455487"/>
          <a:ext cx="1511258" cy="411113"/>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GB" sz="800" kern="1200" dirty="0" smtClean="0">
              <a:latin typeface="Arial" panose="020B0604020202020204" pitchFamily="34" charset="0"/>
              <a:cs typeface="Arial" panose="020B0604020202020204" pitchFamily="34" charset="0"/>
            </a:rPr>
            <a:t>Contract HRBP's UK</a:t>
          </a:r>
        </a:p>
      </dsp:txBody>
      <dsp:txXfrm>
        <a:off x="1802657" y="1455487"/>
        <a:ext cx="1511258" cy="411113"/>
      </dsp:txXfrm>
    </dsp:sp>
    <dsp:sp modelId="{A3FC65DF-8342-4C14-B550-D737BC6862EE}">
      <dsp:nvSpPr>
        <dsp:cNvPr id="0" name=""/>
        <dsp:cNvSpPr/>
      </dsp:nvSpPr>
      <dsp:spPr>
        <a:xfrm>
          <a:off x="3423804" y="1465599"/>
          <a:ext cx="1511258" cy="411113"/>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145" tIns="17145" rIns="17145" bIns="17145" numCol="1" spcCol="1270" anchor="ctr" anchorCtr="0">
          <a:noAutofit/>
        </a:bodyPr>
        <a:lstStyle/>
        <a:p>
          <a:pPr lvl="0" algn="ctr" defTabSz="1200150">
            <a:lnSpc>
              <a:spcPct val="90000"/>
            </a:lnSpc>
            <a:spcBef>
              <a:spcPct val="0"/>
            </a:spcBef>
            <a:spcAft>
              <a:spcPct val="35000"/>
            </a:spcAft>
          </a:pPr>
          <a:endParaRPr lang="en-GB" sz="2700" kern="1200"/>
        </a:p>
      </dsp:txBody>
      <dsp:txXfrm>
        <a:off x="3423804" y="1465599"/>
        <a:ext cx="1511258" cy="4111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1022</Words>
  <Characters>5826</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Birch, Alison</cp:lastModifiedBy>
  <cp:revision>2</cp:revision>
  <dcterms:created xsi:type="dcterms:W3CDTF">2017-04-19T11:20:00Z</dcterms:created>
  <dcterms:modified xsi:type="dcterms:W3CDTF">2017-04-19T11:20:00Z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