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37A0A" w14:textId="77777777" w:rsidR="00366A73" w:rsidRDefault="00520545">
      <w:r>
        <w:rPr>
          <w:noProof/>
          <w:lang w:val="en-GB" w:eastAsia="en-GB"/>
        </w:rPr>
        <mc:AlternateContent>
          <mc:Choice Requires="wps">
            <w:drawing>
              <wp:anchor distT="0" distB="0" distL="114300" distR="114300" simplePos="0" relativeHeight="251658241" behindDoc="0" locked="0" layoutInCell="1" allowOverlap="1" wp14:anchorId="556C84A5" wp14:editId="3F299F9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B7D65D" w14:textId="4A7E5DFA"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4791B">
                              <w:rPr>
                                <w:color w:val="FFFFFF"/>
                                <w:sz w:val="44"/>
                                <w:szCs w:val="44"/>
                                <w:lang w:val="en-AU"/>
                              </w:rPr>
                              <w:t>Financial Planning &amp; Analysis (FP&amp;A)</w:t>
                            </w:r>
                            <w:r w:rsidR="00BF26CC">
                              <w:rPr>
                                <w:color w:val="FFFFFF"/>
                                <w:sz w:val="44"/>
                                <w:szCs w:val="44"/>
                                <w:lang w:val="en-AU"/>
                              </w:rPr>
                              <w:t xml:space="preserv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56C84A5"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02B7D65D" w14:textId="4A7E5DFA"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4791B">
                        <w:rPr>
                          <w:color w:val="FFFFFF"/>
                          <w:sz w:val="44"/>
                          <w:szCs w:val="44"/>
                          <w:lang w:val="en-AU"/>
                        </w:rPr>
                        <w:t>Financial Planning &amp; Analysis (FP&amp;A)</w:t>
                      </w:r>
                      <w:r w:rsidR="00BF26CC">
                        <w:rPr>
                          <w:color w:val="FFFFFF"/>
                          <w:sz w:val="44"/>
                          <w:szCs w:val="44"/>
                          <w:lang w:val="en-AU"/>
                        </w:rPr>
                        <w:t xml:space="preserve"> Manager</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3ADCEC34" wp14:editId="485E5A2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84DA0C1" w14:textId="77777777" w:rsidR="00366A73" w:rsidRPr="00366A73" w:rsidRDefault="00366A73" w:rsidP="00366A73"/>
    <w:p w14:paraId="051D0520" w14:textId="77777777" w:rsidR="00366A73" w:rsidRPr="00366A73" w:rsidRDefault="00366A73" w:rsidP="00366A73"/>
    <w:p w14:paraId="455A5D83" w14:textId="77777777" w:rsidR="00366A73" w:rsidRPr="00366A73" w:rsidRDefault="00366A73" w:rsidP="00366A73"/>
    <w:p w14:paraId="36C24FF8" w14:textId="77777777" w:rsidR="00366A73" w:rsidRPr="00366A73" w:rsidRDefault="00366A73" w:rsidP="00366A73"/>
    <w:p w14:paraId="5782ADB7" w14:textId="77777777" w:rsidR="00366A73" w:rsidRDefault="00366A73" w:rsidP="00366A73"/>
    <w:p w14:paraId="4B4F3067"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37BE566F"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3800C0F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0FF7FD55" w14:textId="77777777" w:rsidR="00366A73" w:rsidRPr="00876EDD" w:rsidRDefault="0020625A" w:rsidP="00161F93">
            <w:pPr>
              <w:spacing w:before="20" w:after="20"/>
              <w:jc w:val="left"/>
              <w:rPr>
                <w:rFonts w:cs="Arial"/>
                <w:color w:val="000000"/>
                <w:szCs w:val="20"/>
              </w:rPr>
            </w:pPr>
            <w:r>
              <w:rPr>
                <w:rFonts w:cs="Arial"/>
                <w:color w:val="000000"/>
                <w:szCs w:val="20"/>
              </w:rPr>
              <w:t>Finance</w:t>
            </w:r>
          </w:p>
        </w:tc>
      </w:tr>
      <w:tr w:rsidR="00366A73" w:rsidRPr="00315425" w14:paraId="0C14DA79"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C06AEC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476BC296" w14:textId="5501FF6A" w:rsidR="00366A73" w:rsidRPr="00CC21AB" w:rsidRDefault="00A4791B" w:rsidP="00161F93">
            <w:pPr>
              <w:pStyle w:val="Heading2"/>
              <w:rPr>
                <w:lang w:val="en-CA"/>
              </w:rPr>
            </w:pPr>
            <w:r>
              <w:rPr>
                <w:lang w:val="en-CA"/>
              </w:rPr>
              <w:t>Financial Planning &amp; Analy</w:t>
            </w:r>
            <w:r w:rsidR="00BF26CC">
              <w:rPr>
                <w:lang w:val="en-CA"/>
              </w:rPr>
              <w:t>sis Manager</w:t>
            </w:r>
          </w:p>
        </w:tc>
      </w:tr>
      <w:tr w:rsidR="00366A73" w:rsidRPr="00315425" w14:paraId="76216C1B"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70E0F9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117950E7" w14:textId="400CE425" w:rsidR="00366A73" w:rsidRPr="00876EDD" w:rsidRDefault="00EB1D55" w:rsidP="00161F93">
            <w:pPr>
              <w:spacing w:before="20" w:after="20"/>
              <w:jc w:val="left"/>
              <w:rPr>
                <w:rFonts w:cs="Arial"/>
                <w:color w:val="000000"/>
                <w:szCs w:val="20"/>
              </w:rPr>
            </w:pPr>
            <w:r>
              <w:rPr>
                <w:rFonts w:cs="Arial"/>
                <w:color w:val="000000"/>
                <w:szCs w:val="20"/>
              </w:rPr>
              <w:t>n/a – repurposed position</w:t>
            </w:r>
          </w:p>
        </w:tc>
      </w:tr>
      <w:tr w:rsidR="00366A73" w:rsidRPr="00315425" w14:paraId="12CDB784"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B3D3EDE"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77A1BC9C" w14:textId="77777777" w:rsidR="00366A73" w:rsidRDefault="00366A73" w:rsidP="00161F93">
            <w:pPr>
              <w:spacing w:before="20" w:after="20"/>
              <w:jc w:val="left"/>
              <w:rPr>
                <w:rFonts w:cs="Arial"/>
                <w:color w:val="000000"/>
                <w:szCs w:val="20"/>
              </w:rPr>
            </w:pPr>
          </w:p>
        </w:tc>
      </w:tr>
      <w:tr w:rsidR="00366A73" w:rsidRPr="00315425" w14:paraId="227B82A9"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9060CC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78244517" w14:textId="059A5356" w:rsidR="00366A73" w:rsidRPr="00BD411A" w:rsidRDefault="00ED7110" w:rsidP="00366A73">
            <w:pPr>
              <w:spacing w:before="20" w:after="20"/>
              <w:jc w:val="left"/>
              <w:rPr>
                <w:rFonts w:cs="Arial"/>
                <w:color w:val="000000"/>
                <w:szCs w:val="20"/>
              </w:rPr>
            </w:pPr>
            <w:r>
              <w:rPr>
                <w:rFonts w:cs="Arial"/>
                <w:color w:val="000000"/>
                <w:szCs w:val="20"/>
              </w:rPr>
              <w:t>Director of FP&amp;A</w:t>
            </w:r>
          </w:p>
        </w:tc>
      </w:tr>
      <w:tr w:rsidR="00366A73" w:rsidRPr="00315425" w14:paraId="6AEE2D00"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7750583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60565455" w14:textId="659E7876" w:rsidR="00366A73" w:rsidRDefault="00BD411A" w:rsidP="00366A73">
            <w:pPr>
              <w:spacing w:before="20" w:after="20"/>
              <w:jc w:val="left"/>
              <w:rPr>
                <w:rFonts w:cs="Arial"/>
                <w:color w:val="000000"/>
                <w:szCs w:val="20"/>
              </w:rPr>
            </w:pPr>
            <w:r>
              <w:rPr>
                <w:rFonts w:cs="Arial"/>
                <w:color w:val="000000"/>
                <w:szCs w:val="20"/>
              </w:rPr>
              <w:t>n/a</w:t>
            </w:r>
          </w:p>
        </w:tc>
      </w:tr>
      <w:tr w:rsidR="00366A73" w:rsidRPr="00315425" w14:paraId="3C1DB269"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4E4136F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36E64CD1" w14:textId="1084728A" w:rsidR="00366A73" w:rsidRDefault="00ED7110" w:rsidP="00161F93">
            <w:pPr>
              <w:spacing w:before="20" w:after="20"/>
              <w:jc w:val="left"/>
              <w:rPr>
                <w:rFonts w:cs="Arial"/>
                <w:color w:val="000000"/>
                <w:szCs w:val="20"/>
              </w:rPr>
            </w:pPr>
            <w:r>
              <w:rPr>
                <w:rFonts w:cs="Arial"/>
                <w:color w:val="000000"/>
                <w:szCs w:val="20"/>
              </w:rPr>
              <w:t>Manchester</w:t>
            </w:r>
          </w:p>
        </w:tc>
      </w:tr>
      <w:tr w:rsidR="00366A73" w:rsidRPr="00315425" w14:paraId="7169F8A3"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5A5240BB" w14:textId="77777777" w:rsidR="00366A73" w:rsidRDefault="00366A73" w:rsidP="00161F93">
            <w:pPr>
              <w:jc w:val="left"/>
              <w:rPr>
                <w:rFonts w:cs="Arial"/>
                <w:sz w:val="10"/>
                <w:szCs w:val="20"/>
              </w:rPr>
            </w:pPr>
          </w:p>
          <w:p w14:paraId="208A36ED" w14:textId="77777777" w:rsidR="00366A73" w:rsidRPr="00315425" w:rsidRDefault="00366A73" w:rsidP="00161F93">
            <w:pPr>
              <w:jc w:val="left"/>
              <w:rPr>
                <w:rFonts w:cs="Arial"/>
                <w:sz w:val="10"/>
                <w:szCs w:val="20"/>
              </w:rPr>
            </w:pPr>
          </w:p>
        </w:tc>
      </w:tr>
      <w:tr w:rsidR="00366A73" w:rsidRPr="00315425" w14:paraId="55015945"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09747D8E"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7CD57D4"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2FCA9E1C" w14:textId="77777777" w:rsidR="008C5660" w:rsidRPr="009726D6" w:rsidRDefault="008C5660" w:rsidP="00983B5A">
            <w:pPr>
              <w:pStyle w:val="ListParagraph"/>
              <w:ind w:left="360"/>
              <w:rPr>
                <w:rFonts w:cs="Arial"/>
                <w:color w:val="000000" w:themeColor="text1"/>
                <w:sz w:val="4"/>
                <w:szCs w:val="20"/>
                <w:lang w:val="en-GB"/>
              </w:rPr>
            </w:pPr>
          </w:p>
          <w:p w14:paraId="359D31FF" w14:textId="77777777" w:rsidR="00951197" w:rsidRDefault="00951197" w:rsidP="00BE4280">
            <w:pPr>
              <w:pStyle w:val="ListParagraph"/>
              <w:ind w:left="360"/>
              <w:rPr>
                <w:rFonts w:cs="Arial"/>
                <w:color w:val="000000" w:themeColor="text1"/>
                <w:szCs w:val="20"/>
                <w:lang w:val="en-GB"/>
              </w:rPr>
            </w:pPr>
          </w:p>
          <w:p w14:paraId="00169E40" w14:textId="77777777" w:rsidR="008A2078" w:rsidRDefault="00951197" w:rsidP="00BE4280">
            <w:pPr>
              <w:pStyle w:val="ListParagraph"/>
              <w:ind w:left="360"/>
              <w:rPr>
                <w:rFonts w:cs="Arial"/>
                <w:color w:val="000000" w:themeColor="text1"/>
                <w:szCs w:val="20"/>
                <w:lang w:val="en-GB"/>
              </w:rPr>
            </w:pPr>
            <w:r>
              <w:rPr>
                <w:rFonts w:cs="Arial"/>
                <w:color w:val="000000" w:themeColor="text1"/>
                <w:szCs w:val="20"/>
                <w:lang w:val="en-GB"/>
              </w:rPr>
              <w:t>This role will lead</w:t>
            </w:r>
            <w:r w:rsidR="008A2078">
              <w:rPr>
                <w:rFonts w:cs="Arial"/>
                <w:color w:val="000000" w:themeColor="text1"/>
                <w:szCs w:val="20"/>
                <w:lang w:val="en-GB"/>
              </w:rPr>
              <w:t xml:space="preserve">: </w:t>
            </w:r>
          </w:p>
          <w:p w14:paraId="282C4E2C" w14:textId="77777777" w:rsidR="008A2078" w:rsidRDefault="008A2078" w:rsidP="008A2078">
            <w:pPr>
              <w:pStyle w:val="ListParagraph"/>
              <w:numPr>
                <w:ilvl w:val="0"/>
                <w:numId w:val="27"/>
              </w:numPr>
              <w:rPr>
                <w:rFonts w:cs="Arial"/>
                <w:color w:val="000000" w:themeColor="text1"/>
                <w:szCs w:val="20"/>
                <w:lang w:val="en-GB"/>
              </w:rPr>
            </w:pPr>
            <w:r>
              <w:rPr>
                <w:rFonts w:cs="Arial"/>
                <w:color w:val="000000" w:themeColor="text1"/>
                <w:szCs w:val="20"/>
                <w:lang w:val="en-GB"/>
              </w:rPr>
              <w:t xml:space="preserve">Lead </w:t>
            </w:r>
            <w:r w:rsidR="00951197">
              <w:rPr>
                <w:rFonts w:cs="Arial"/>
                <w:color w:val="000000" w:themeColor="text1"/>
                <w:szCs w:val="20"/>
                <w:lang w:val="en-GB"/>
              </w:rPr>
              <w:t xml:space="preserve">in </w:t>
            </w:r>
            <w:r>
              <w:rPr>
                <w:rFonts w:cs="Arial"/>
                <w:color w:val="000000" w:themeColor="text1"/>
                <w:szCs w:val="20"/>
                <w:lang w:val="en-GB"/>
              </w:rPr>
              <w:t>the provision of management reporting</w:t>
            </w:r>
          </w:p>
          <w:p w14:paraId="46D90AC1" w14:textId="77777777" w:rsidR="004C2A6D" w:rsidRDefault="004C2A6D" w:rsidP="008A2078">
            <w:pPr>
              <w:pStyle w:val="ListParagraph"/>
              <w:numPr>
                <w:ilvl w:val="0"/>
                <w:numId w:val="27"/>
              </w:numPr>
              <w:rPr>
                <w:rFonts w:cs="Arial"/>
                <w:color w:val="000000" w:themeColor="text1"/>
                <w:szCs w:val="20"/>
                <w:lang w:val="en-GB"/>
              </w:rPr>
            </w:pPr>
            <w:r>
              <w:rPr>
                <w:rFonts w:cs="Arial"/>
                <w:color w:val="000000" w:themeColor="text1"/>
                <w:szCs w:val="20"/>
                <w:lang w:val="en-GB"/>
              </w:rPr>
              <w:t xml:space="preserve">Manage </w:t>
            </w:r>
            <w:r w:rsidR="008A2078">
              <w:rPr>
                <w:rFonts w:cs="Arial"/>
                <w:color w:val="000000" w:themeColor="text1"/>
                <w:szCs w:val="20"/>
                <w:lang w:val="en-GB"/>
              </w:rPr>
              <w:t xml:space="preserve">financial planning </w:t>
            </w:r>
            <w:r>
              <w:rPr>
                <w:rFonts w:cs="Arial"/>
                <w:color w:val="000000" w:themeColor="text1"/>
                <w:szCs w:val="20"/>
                <w:lang w:val="en-GB"/>
              </w:rPr>
              <w:t>processes and outputs for the region</w:t>
            </w:r>
          </w:p>
          <w:p w14:paraId="337C13F0" w14:textId="0993BC12" w:rsidR="00BE4280" w:rsidRPr="00136DDD" w:rsidRDefault="004C2A6D" w:rsidP="008A2078">
            <w:pPr>
              <w:pStyle w:val="ListParagraph"/>
              <w:numPr>
                <w:ilvl w:val="0"/>
                <w:numId w:val="27"/>
              </w:numPr>
              <w:rPr>
                <w:rFonts w:cs="Arial"/>
                <w:color w:val="000000" w:themeColor="text1"/>
                <w:szCs w:val="20"/>
                <w:lang w:val="en-GB"/>
              </w:rPr>
            </w:pPr>
            <w:r>
              <w:rPr>
                <w:rFonts w:cs="Arial"/>
                <w:color w:val="000000" w:themeColor="text1"/>
                <w:szCs w:val="20"/>
                <w:lang w:val="en-GB"/>
              </w:rPr>
              <w:t xml:space="preserve">Provide </w:t>
            </w:r>
            <w:r w:rsidR="00577C44">
              <w:rPr>
                <w:rFonts w:cs="Arial"/>
                <w:color w:val="000000" w:themeColor="text1"/>
                <w:szCs w:val="20"/>
                <w:lang w:val="en-GB"/>
              </w:rPr>
              <w:t xml:space="preserve">financial </w:t>
            </w:r>
            <w:r>
              <w:rPr>
                <w:rFonts w:cs="Arial"/>
                <w:color w:val="000000" w:themeColor="text1"/>
                <w:szCs w:val="20"/>
                <w:lang w:val="en-GB"/>
              </w:rPr>
              <w:t>analysis and de</w:t>
            </w:r>
            <w:r w:rsidR="00577C44">
              <w:rPr>
                <w:rFonts w:cs="Arial"/>
                <w:color w:val="000000" w:themeColor="text1"/>
                <w:szCs w:val="20"/>
                <w:lang w:val="en-GB"/>
              </w:rPr>
              <w:t>cision support</w:t>
            </w:r>
          </w:p>
          <w:p w14:paraId="2370572E" w14:textId="4BBF9408" w:rsidR="00136DDD" w:rsidRPr="00136DDD" w:rsidRDefault="00136DDD" w:rsidP="00136DDD">
            <w:pPr>
              <w:rPr>
                <w:rFonts w:cs="Arial"/>
                <w:color w:val="000000" w:themeColor="text1"/>
                <w:szCs w:val="20"/>
                <w:lang w:val="en-GB"/>
              </w:rPr>
            </w:pPr>
          </w:p>
        </w:tc>
      </w:tr>
      <w:tr w:rsidR="00366A73" w:rsidRPr="00315425" w14:paraId="2A81EEB1" w14:textId="77777777" w:rsidTr="00C443B9">
        <w:trPr>
          <w:gridAfter w:val="1"/>
          <w:wAfter w:w="18" w:type="dxa"/>
        </w:trPr>
        <w:tc>
          <w:tcPr>
            <w:tcW w:w="10440" w:type="dxa"/>
            <w:gridSpan w:val="2"/>
            <w:tcBorders>
              <w:top w:val="single" w:sz="2" w:space="0" w:color="auto"/>
              <w:left w:val="nil"/>
              <w:bottom w:val="single" w:sz="2" w:space="0" w:color="auto"/>
              <w:right w:val="single" w:sz="4" w:space="0" w:color="auto"/>
            </w:tcBorders>
          </w:tcPr>
          <w:p w14:paraId="0BAF2ADF" w14:textId="6ADF81B3" w:rsidR="00366A73" w:rsidRDefault="00366A73" w:rsidP="00161F93">
            <w:pPr>
              <w:jc w:val="left"/>
              <w:rPr>
                <w:rFonts w:cs="Arial"/>
                <w:sz w:val="10"/>
                <w:szCs w:val="20"/>
              </w:rPr>
            </w:pPr>
          </w:p>
          <w:tbl>
            <w:tblPr>
              <w:tblpPr w:leftFromText="180" w:rightFromText="180" w:vertAnchor="text" w:horzAnchor="margin" w:tblpXSpec="center" w:tblpY="192"/>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9"/>
              <w:gridCol w:w="3402"/>
              <w:gridCol w:w="4992"/>
            </w:tblGrid>
            <w:tr w:rsidR="00C443B9" w:rsidRPr="00315425" w14:paraId="279223E9" w14:textId="77777777" w:rsidTr="00C443B9">
              <w:trPr>
                <w:trHeight w:val="394"/>
              </w:trPr>
              <w:tc>
                <w:tcPr>
                  <w:tcW w:w="10453" w:type="dxa"/>
                  <w:gridSpan w:val="3"/>
                  <w:tcBorders>
                    <w:top w:val="single" w:sz="2" w:space="0" w:color="auto"/>
                    <w:left w:val="single" w:sz="2" w:space="0" w:color="auto"/>
                    <w:bottom w:val="dotted" w:sz="2" w:space="0" w:color="auto"/>
                    <w:right w:val="single" w:sz="4" w:space="0" w:color="auto"/>
                  </w:tcBorders>
                  <w:shd w:val="clear" w:color="auto" w:fill="F2F2F2"/>
                  <w:vAlign w:val="center"/>
                </w:tcPr>
                <w:p w14:paraId="61D79C40" w14:textId="77777777" w:rsidR="00C443B9" w:rsidRPr="00315425" w:rsidRDefault="00C443B9" w:rsidP="00C443B9">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C443B9" w:rsidRPr="00315425" w14:paraId="6E2C8167" w14:textId="77777777" w:rsidTr="00C443B9">
              <w:trPr>
                <w:trHeight w:val="394"/>
              </w:trPr>
              <w:tc>
                <w:tcPr>
                  <w:tcW w:w="2059" w:type="dxa"/>
                  <w:tcBorders>
                    <w:top w:val="single" w:sz="2" w:space="0" w:color="auto"/>
                    <w:left w:val="single" w:sz="2" w:space="0" w:color="auto"/>
                    <w:bottom w:val="dotted" w:sz="2" w:space="0" w:color="auto"/>
                    <w:right w:val="single" w:sz="2" w:space="0" w:color="auto"/>
                  </w:tcBorders>
                  <w:shd w:val="clear" w:color="auto" w:fill="auto"/>
                  <w:vAlign w:val="center"/>
                </w:tcPr>
                <w:p w14:paraId="6F3B6EE5" w14:textId="77777777" w:rsidR="00A61898" w:rsidRDefault="00A61898" w:rsidP="00C443B9">
                  <w:pPr>
                    <w:rPr>
                      <w:rFonts w:cs="Arial"/>
                      <w:color w:val="000000" w:themeColor="text1"/>
                      <w:szCs w:val="20"/>
                      <w:lang w:val="en-GB"/>
                    </w:rPr>
                  </w:pPr>
                </w:p>
                <w:p w14:paraId="2C786143" w14:textId="18577BF7" w:rsidR="00C443B9" w:rsidRPr="00C443B9" w:rsidRDefault="00C443B9" w:rsidP="00C443B9">
                  <w:pPr>
                    <w:rPr>
                      <w:rFonts w:cs="Arial"/>
                      <w:color w:val="000000" w:themeColor="text1"/>
                      <w:szCs w:val="20"/>
                      <w:lang w:val="en-GB"/>
                    </w:rPr>
                  </w:pPr>
                  <w:r w:rsidRPr="00C443B9">
                    <w:rPr>
                      <w:rFonts w:cs="Arial"/>
                      <w:color w:val="000000" w:themeColor="text1"/>
                      <w:szCs w:val="20"/>
                      <w:lang w:val="en-GB"/>
                    </w:rPr>
                    <w:t>FY22</w:t>
                  </w:r>
                </w:p>
                <w:p w14:paraId="213802FC" w14:textId="0B193712" w:rsidR="00C443B9" w:rsidRPr="00C443B9" w:rsidRDefault="00C443B9" w:rsidP="00C443B9">
                  <w:pPr>
                    <w:rPr>
                      <w:rFonts w:cs="Arial"/>
                      <w:color w:val="000000" w:themeColor="text1"/>
                      <w:szCs w:val="20"/>
                      <w:lang w:val="en-GB"/>
                    </w:rPr>
                  </w:pPr>
                  <w:r w:rsidRPr="00C443B9">
                    <w:rPr>
                      <w:rFonts w:cs="Arial"/>
                      <w:color w:val="000000" w:themeColor="text1"/>
                      <w:szCs w:val="20"/>
                      <w:lang w:val="en-GB"/>
                    </w:rPr>
                    <w:t>Revenue €2.0bn</w:t>
                  </w:r>
                </w:p>
                <w:p w14:paraId="69DEDE0D" w14:textId="77777777" w:rsidR="00C443B9" w:rsidRPr="00141822" w:rsidRDefault="00C443B9" w:rsidP="00C443B9">
                  <w:pPr>
                    <w:rPr>
                      <w:color w:val="1F497D" w:themeColor="text2"/>
                      <w:szCs w:val="20"/>
                    </w:rPr>
                  </w:pPr>
                </w:p>
                <w:p w14:paraId="25F98FEF" w14:textId="77777777" w:rsidR="00C443B9" w:rsidRPr="00A66474" w:rsidRDefault="00C443B9" w:rsidP="00C443B9">
                  <w:pPr>
                    <w:rPr>
                      <w:color w:val="1F497D" w:themeColor="text2"/>
                      <w:szCs w:val="20"/>
                    </w:rPr>
                  </w:pPr>
                </w:p>
              </w:tc>
              <w:tc>
                <w:tcPr>
                  <w:tcW w:w="3402" w:type="dxa"/>
                  <w:tcBorders>
                    <w:top w:val="single" w:sz="2" w:space="0" w:color="auto"/>
                    <w:left w:val="single" w:sz="2" w:space="0" w:color="auto"/>
                    <w:bottom w:val="dotted" w:sz="2" w:space="0" w:color="auto"/>
                    <w:right w:val="single" w:sz="2" w:space="0" w:color="auto"/>
                  </w:tcBorders>
                  <w:shd w:val="clear" w:color="auto" w:fill="auto"/>
                  <w:vAlign w:val="center"/>
                </w:tcPr>
                <w:p w14:paraId="72139D49" w14:textId="77777777" w:rsidR="00C443B9" w:rsidRPr="00C443B9" w:rsidRDefault="00C443B9" w:rsidP="00C443B9">
                  <w:pPr>
                    <w:rPr>
                      <w:color w:val="1F497D" w:themeColor="text2"/>
                      <w:szCs w:val="20"/>
                    </w:rPr>
                  </w:pPr>
                  <w:r w:rsidRPr="00C443B9">
                    <w:rPr>
                      <w:rFonts w:cs="Arial"/>
                      <w:color w:val="000000" w:themeColor="text1"/>
                      <w:szCs w:val="20"/>
                      <w:lang w:val="en-GB"/>
                    </w:rPr>
                    <w:t>Growth opportunities across all segments.</w:t>
                  </w:r>
                </w:p>
              </w:tc>
              <w:tc>
                <w:tcPr>
                  <w:tcW w:w="4992" w:type="dxa"/>
                  <w:tcBorders>
                    <w:top w:val="single" w:sz="2" w:space="0" w:color="auto"/>
                    <w:left w:val="single" w:sz="2" w:space="0" w:color="auto"/>
                    <w:bottom w:val="dotted" w:sz="2" w:space="0" w:color="auto"/>
                    <w:right w:val="single" w:sz="4" w:space="0" w:color="auto"/>
                  </w:tcBorders>
                  <w:shd w:val="clear" w:color="auto" w:fill="auto"/>
                  <w:vAlign w:val="center"/>
                </w:tcPr>
                <w:p w14:paraId="2F17C7F9" w14:textId="19871726" w:rsidR="00C443B9" w:rsidRPr="00C443B9" w:rsidRDefault="007A582A" w:rsidP="00C443B9">
                  <w:pPr>
                    <w:pStyle w:val="ListParagraph"/>
                    <w:numPr>
                      <w:ilvl w:val="0"/>
                      <w:numId w:val="2"/>
                    </w:numPr>
                    <w:rPr>
                      <w:rFonts w:cs="Arial"/>
                      <w:color w:val="000000" w:themeColor="text1"/>
                      <w:szCs w:val="20"/>
                      <w:lang w:val="en-GB"/>
                    </w:rPr>
                  </w:pPr>
                  <w:r>
                    <w:rPr>
                      <w:rFonts w:cs="Arial"/>
                      <w:color w:val="000000" w:themeColor="text1"/>
                      <w:szCs w:val="20"/>
                      <w:lang w:val="en-GB"/>
                    </w:rPr>
                    <w:t xml:space="preserve">Region wide remit, primarily focusing on </w:t>
                  </w:r>
                  <w:r w:rsidR="00A61898">
                    <w:rPr>
                      <w:rFonts w:cs="Arial"/>
                      <w:color w:val="000000" w:themeColor="text1"/>
                      <w:szCs w:val="20"/>
                      <w:lang w:val="en-GB"/>
                    </w:rPr>
                    <w:t xml:space="preserve">6 operating segments </w:t>
                  </w:r>
                </w:p>
                <w:p w14:paraId="3E5F6EDA" w14:textId="6E8FC958" w:rsidR="00C443B9" w:rsidRPr="00A66474" w:rsidRDefault="00C443B9" w:rsidP="00951197">
                  <w:pPr>
                    <w:pStyle w:val="ListParagraph"/>
                    <w:ind w:left="360"/>
                    <w:rPr>
                      <w:color w:val="1F497D" w:themeColor="text2"/>
                      <w:szCs w:val="20"/>
                    </w:rPr>
                  </w:pPr>
                </w:p>
              </w:tc>
            </w:tr>
            <w:tr w:rsidR="00C443B9" w:rsidRPr="00315425" w14:paraId="43AEF4B9" w14:textId="77777777" w:rsidTr="00C443B9">
              <w:trPr>
                <w:trHeight w:val="394"/>
              </w:trPr>
              <w:tc>
                <w:tcPr>
                  <w:tcW w:w="10453" w:type="dxa"/>
                  <w:gridSpan w:val="3"/>
                  <w:tcBorders>
                    <w:top w:val="single" w:sz="2" w:space="0" w:color="auto"/>
                    <w:left w:val="single" w:sz="2" w:space="0" w:color="auto"/>
                    <w:bottom w:val="dotted" w:sz="2" w:space="0" w:color="auto"/>
                    <w:right w:val="single" w:sz="4" w:space="0" w:color="auto"/>
                  </w:tcBorders>
                  <w:shd w:val="clear" w:color="auto" w:fill="auto"/>
                  <w:vAlign w:val="center"/>
                </w:tcPr>
                <w:p w14:paraId="3C6D2EF3" w14:textId="6386DCCE" w:rsidR="00C443B9" w:rsidRPr="00C443B9" w:rsidRDefault="00C443B9" w:rsidP="00C443B9">
                  <w:pPr>
                    <w:pStyle w:val="ListParagraph"/>
                    <w:numPr>
                      <w:ilvl w:val="0"/>
                      <w:numId w:val="2"/>
                    </w:numPr>
                    <w:rPr>
                      <w:rFonts w:cs="Arial"/>
                      <w:color w:val="000000" w:themeColor="text1"/>
                      <w:szCs w:val="20"/>
                      <w:lang w:val="en-GB"/>
                    </w:rPr>
                  </w:pPr>
                  <w:r w:rsidRPr="00C443B9">
                    <w:rPr>
                      <w:rFonts w:cs="Arial"/>
                      <w:color w:val="000000" w:themeColor="text1"/>
                      <w:szCs w:val="20"/>
                      <w:lang w:val="en-GB"/>
                    </w:rPr>
                    <w:t xml:space="preserve">Characteristics: </w:t>
                  </w:r>
                  <w:r w:rsidR="00862EBC">
                    <w:rPr>
                      <w:rFonts w:cs="Arial"/>
                      <w:color w:val="000000" w:themeColor="text1"/>
                      <w:szCs w:val="20"/>
                      <w:lang w:val="en-GB"/>
                    </w:rPr>
                    <w:t>Senior m</w:t>
                  </w:r>
                  <w:r w:rsidRPr="00C443B9">
                    <w:rPr>
                      <w:rFonts w:cs="Arial"/>
                      <w:color w:val="000000" w:themeColor="text1"/>
                      <w:szCs w:val="20"/>
                      <w:lang w:val="en-GB"/>
                    </w:rPr>
                    <w:t xml:space="preserve">ember </w:t>
                  </w:r>
                  <w:r w:rsidR="00862EBC">
                    <w:rPr>
                      <w:rFonts w:cs="Arial"/>
                      <w:color w:val="000000" w:themeColor="text1"/>
                      <w:szCs w:val="20"/>
                      <w:lang w:val="en-GB"/>
                    </w:rPr>
                    <w:t xml:space="preserve">of the </w:t>
                  </w:r>
                  <w:r w:rsidRPr="00C443B9">
                    <w:rPr>
                      <w:rFonts w:cs="Arial"/>
                      <w:color w:val="000000" w:themeColor="text1"/>
                      <w:szCs w:val="20"/>
                      <w:lang w:val="en-GB"/>
                    </w:rPr>
                    <w:t>region</w:t>
                  </w:r>
                  <w:r w:rsidR="00862EBC">
                    <w:rPr>
                      <w:rFonts w:cs="Arial"/>
                      <w:color w:val="000000" w:themeColor="text1"/>
                      <w:szCs w:val="20"/>
                      <w:lang w:val="en-GB"/>
                    </w:rPr>
                    <w:t>al transversal</w:t>
                  </w:r>
                  <w:r w:rsidRPr="00C443B9">
                    <w:rPr>
                      <w:rFonts w:cs="Arial"/>
                      <w:color w:val="000000" w:themeColor="text1"/>
                      <w:szCs w:val="20"/>
                      <w:lang w:val="en-GB"/>
                    </w:rPr>
                    <w:t xml:space="preserve"> finance team</w:t>
                  </w:r>
                </w:p>
              </w:tc>
            </w:tr>
          </w:tbl>
          <w:p w14:paraId="5A0C7218" w14:textId="37916DDA" w:rsidR="00366A73" w:rsidRPr="00C443B9" w:rsidRDefault="00C443B9" w:rsidP="00C443B9">
            <w:pPr>
              <w:rPr>
                <w:sz w:val="18"/>
              </w:rPr>
            </w:pPr>
            <w:r>
              <w:rPr>
                <w:rFonts w:cs="Arial"/>
                <w:noProof/>
                <w:sz w:val="18"/>
                <w:lang w:val="en-GB" w:eastAsia="en-GB"/>
              </w:rPr>
              <mc:AlternateContent>
                <mc:Choice Requires="wps">
                  <w:drawing>
                    <wp:anchor distT="0" distB="0" distL="114300" distR="114300" simplePos="0" relativeHeight="251658243" behindDoc="0" locked="0" layoutInCell="1" allowOverlap="1" wp14:anchorId="57734C4D" wp14:editId="7D42FF95">
                      <wp:simplePos x="0" y="0"/>
                      <wp:positionH relativeFrom="column">
                        <wp:posOffset>7086600</wp:posOffset>
                      </wp:positionH>
                      <wp:positionV relativeFrom="paragraph">
                        <wp:posOffset>2689860</wp:posOffset>
                      </wp:positionV>
                      <wp:extent cx="1583690" cy="253365"/>
                      <wp:effectExtent l="0" t="0" r="16510" b="1333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BDEC30E" w14:textId="77777777" w:rsidR="00C443B9" w:rsidRPr="00DB623E" w:rsidRDefault="00C443B9" w:rsidP="00C443B9">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734C4D" id="Text Box 36" o:spid="_x0000_s1027" type="#_x0000_t202" style="position:absolute;left:0;text-align:left;margin-left:558pt;margin-top:211.8pt;width:124.7pt;height:19.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BDEC30E" w14:textId="77777777" w:rsidR="00C443B9" w:rsidRPr="00DB623E" w:rsidRDefault="00C443B9" w:rsidP="00C443B9">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c>
      </w:tr>
    </w:tbl>
    <w:p w14:paraId="05ED9F54"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58242" behindDoc="0" locked="0" layoutInCell="1" allowOverlap="1" wp14:anchorId="66B4C2FC" wp14:editId="3FA9285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CA4608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B4C2FC" id="_x0000_s1028" type="#_x0000_t202" style="position:absolute;left:0;text-align:left;margin-left:558pt;margin-top:211.8pt;width:124.7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6CA4608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96152A3"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8060102"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9F69457"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55AC17CC" w14:textId="77777777" w:rsidR="00366A73" w:rsidRPr="00315425" w:rsidRDefault="00366A73" w:rsidP="00366A73">
            <w:pPr>
              <w:jc w:val="center"/>
              <w:rPr>
                <w:rFonts w:cs="Arial"/>
                <w:b/>
                <w:sz w:val="4"/>
                <w:szCs w:val="20"/>
              </w:rPr>
            </w:pPr>
          </w:p>
          <w:p w14:paraId="4619CC1E" w14:textId="77777777" w:rsidR="00366A73" w:rsidRPr="00315425" w:rsidRDefault="00366A73" w:rsidP="00366A73">
            <w:pPr>
              <w:jc w:val="center"/>
              <w:rPr>
                <w:rFonts w:cs="Arial"/>
                <w:b/>
                <w:sz w:val="6"/>
                <w:szCs w:val="20"/>
              </w:rPr>
            </w:pPr>
          </w:p>
          <w:p w14:paraId="66B88106" w14:textId="3DBA5044" w:rsidR="00C36AD0" w:rsidRDefault="00DF1C19" w:rsidP="00C36AD0">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58244" behindDoc="0" locked="0" layoutInCell="1" allowOverlap="1" wp14:anchorId="2FA61CDE" wp14:editId="1E64A78B">
                      <wp:simplePos x="0" y="0"/>
                      <wp:positionH relativeFrom="column">
                        <wp:posOffset>5014595</wp:posOffset>
                      </wp:positionH>
                      <wp:positionV relativeFrom="paragraph">
                        <wp:posOffset>1355725</wp:posOffset>
                      </wp:positionV>
                      <wp:extent cx="1476375" cy="3714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476375" cy="371475"/>
                              </a:xfrm>
                              <a:prstGeom prst="rect">
                                <a:avLst/>
                              </a:prstGeom>
                              <a:solidFill>
                                <a:schemeClr val="lt1"/>
                              </a:solidFill>
                              <a:ln w="6350">
                                <a:noFill/>
                              </a:ln>
                            </wps:spPr>
                            <wps:txbx>
                              <w:txbxContent>
                                <w:p w14:paraId="53F70E9A" w14:textId="5B9E4665" w:rsidR="00DF1C19" w:rsidRPr="003E3A13" w:rsidRDefault="00DF1C19">
                                  <w:pPr>
                                    <w:rPr>
                                      <w:color w:val="808080" w:themeColor="background1" w:themeShade="80"/>
                                      <w:sz w:val="18"/>
                                      <w:szCs w:val="22"/>
                                    </w:rPr>
                                  </w:pPr>
                                  <w:r w:rsidRPr="003E3A13">
                                    <w:rPr>
                                      <w:color w:val="808080" w:themeColor="background1" w:themeShade="80"/>
                                      <w:sz w:val="18"/>
                                      <w:szCs w:val="22"/>
                                    </w:rPr>
                                    <w:t>Structure of direct reports to the Heads is TBC</w:t>
                                  </w:r>
                                  <w:r w:rsidR="00657F1A" w:rsidRPr="003E3A13">
                                    <w:rPr>
                                      <w:color w:val="808080" w:themeColor="background1" w:themeShade="80"/>
                                      <w:sz w:val="18"/>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61CDE" id="Text Box 6" o:spid="_x0000_s1029" type="#_x0000_t202" style="position:absolute;left:0;text-align:left;margin-left:394.85pt;margin-top:106.75pt;width:116.25pt;height:29.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" fillcolor="white [3201]" stroked="f" strokeweight=".5pt">
                      <v:textbox>
                        <w:txbxContent>
                          <w:p w14:paraId="53F70E9A" w14:textId="5B9E4665" w:rsidR="00DF1C19" w:rsidRPr="003E3A13" w:rsidRDefault="00DF1C19">
                            <w:pPr>
                              <w:rPr>
                                <w:color w:val="808080" w:themeColor="background1" w:themeShade="80"/>
                                <w:sz w:val="18"/>
                                <w:szCs w:val="22"/>
                              </w:rPr>
                            </w:pPr>
                            <w:r w:rsidRPr="003E3A13">
                              <w:rPr>
                                <w:color w:val="808080" w:themeColor="background1" w:themeShade="80"/>
                                <w:sz w:val="18"/>
                                <w:szCs w:val="22"/>
                              </w:rPr>
                              <w:t>Structure of direct reports to the Heads is TBC</w:t>
                            </w:r>
                            <w:r w:rsidR="00657F1A" w:rsidRPr="003E3A13">
                              <w:rPr>
                                <w:color w:val="808080" w:themeColor="background1" w:themeShade="80"/>
                                <w:sz w:val="18"/>
                                <w:szCs w:val="22"/>
                              </w:rPr>
                              <w:t xml:space="preserve">. </w:t>
                            </w:r>
                          </w:p>
                        </w:txbxContent>
                      </v:textbox>
                    </v:shape>
                  </w:pict>
                </mc:Fallback>
              </mc:AlternateContent>
            </w:r>
            <w:r w:rsidR="00742882">
              <w:rPr>
                <w:rFonts w:cs="Arial"/>
                <w:noProof/>
                <w:sz w:val="10"/>
                <w:szCs w:val="20"/>
                <w:lang w:val="en-GB" w:eastAsia="en-GB"/>
              </w:rPr>
              <w:drawing>
                <wp:inline distT="0" distB="0" distL="0" distR="0" wp14:anchorId="577CA568" wp14:editId="299FB928">
                  <wp:extent cx="5230091" cy="1683327"/>
                  <wp:effectExtent l="0" t="0" r="0" b="127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F3AB31F" w14:textId="77777777" w:rsidR="00366A73" w:rsidRPr="00D376CF" w:rsidRDefault="00366A73" w:rsidP="00C36AD0">
            <w:pPr>
              <w:spacing w:after="40"/>
              <w:rPr>
                <w:rFonts w:cs="Arial"/>
                <w:sz w:val="14"/>
                <w:szCs w:val="20"/>
              </w:rPr>
            </w:pPr>
          </w:p>
        </w:tc>
      </w:tr>
    </w:tbl>
    <w:p w14:paraId="23A58C8C"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2D3B0A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10DA084"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0D62088B"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126850E1" w14:textId="21CDF7CB" w:rsidR="0072691F" w:rsidRDefault="0072691F" w:rsidP="0072691F">
            <w:pPr>
              <w:numPr>
                <w:ilvl w:val="0"/>
                <w:numId w:val="3"/>
              </w:numPr>
              <w:spacing w:before="40" w:after="40"/>
              <w:jc w:val="left"/>
            </w:pPr>
            <w:r>
              <w:t xml:space="preserve">The regional reporting </w:t>
            </w:r>
            <w:r w:rsidR="00AC3E7B">
              <w:t xml:space="preserve">&amp; planning </w:t>
            </w:r>
            <w:r>
              <w:t xml:space="preserve">solution is diverse, we need to create consistency and </w:t>
            </w:r>
            <w:proofErr w:type="spellStart"/>
            <w:r>
              <w:t>standardisation</w:t>
            </w:r>
            <w:proofErr w:type="spellEnd"/>
            <w:r>
              <w:t xml:space="preserve">, whilst maintaining those segment </w:t>
            </w:r>
            <w:proofErr w:type="spellStart"/>
            <w:r>
              <w:t>customisations</w:t>
            </w:r>
            <w:proofErr w:type="spellEnd"/>
            <w:r>
              <w:t xml:space="preserve"> that add value.</w:t>
            </w:r>
          </w:p>
          <w:p w14:paraId="14E73E7F" w14:textId="0C991E99" w:rsidR="0072691F" w:rsidRDefault="0072691F" w:rsidP="0072691F">
            <w:pPr>
              <w:numPr>
                <w:ilvl w:val="0"/>
                <w:numId w:val="3"/>
              </w:numPr>
              <w:spacing w:before="40" w:after="40"/>
              <w:jc w:val="left"/>
            </w:pPr>
            <w:r>
              <w:t xml:space="preserve">Helping to </w:t>
            </w:r>
            <w:proofErr w:type="spellStart"/>
            <w:r>
              <w:t>optimise</w:t>
            </w:r>
            <w:proofErr w:type="spellEnd"/>
            <w:r>
              <w:t xml:space="preserve"> processes (</w:t>
            </w:r>
            <w:proofErr w:type="spellStart"/>
            <w:r>
              <w:t>e.g</w:t>
            </w:r>
            <w:proofErr w:type="spellEnd"/>
            <w:r>
              <w:t xml:space="preserve"> via automation &amp; efficiencies).</w:t>
            </w:r>
          </w:p>
          <w:p w14:paraId="54E9189C" w14:textId="138BAA21" w:rsidR="0013307F" w:rsidRPr="0086742D" w:rsidRDefault="0072691F" w:rsidP="0072691F">
            <w:pPr>
              <w:numPr>
                <w:ilvl w:val="0"/>
                <w:numId w:val="3"/>
              </w:numPr>
              <w:spacing w:before="40" w:after="40"/>
              <w:jc w:val="left"/>
            </w:pPr>
            <w:r>
              <w:t>Ensuring alignment with global stakeholders, global reporting solutions &amp; adherence to Sodexo policies (</w:t>
            </w:r>
            <w:proofErr w:type="spellStart"/>
            <w:r>
              <w:t>e.g</w:t>
            </w:r>
            <w:proofErr w:type="spellEnd"/>
            <w:r>
              <w:t xml:space="preserve"> finance &amp; data protection)</w:t>
            </w:r>
          </w:p>
        </w:tc>
      </w:tr>
    </w:tbl>
    <w:p w14:paraId="04EE773E" w14:textId="77777777" w:rsidR="00E57078" w:rsidRDefault="00E57078" w:rsidP="0086742D">
      <w:pPr>
        <w:tabs>
          <w:tab w:val="left" w:pos="2235"/>
        </w:tabs>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E2A6BC5" w14:textId="77777777" w:rsidTr="00161F93">
        <w:trPr>
          <w:trHeight w:val="565"/>
        </w:trPr>
        <w:tc>
          <w:tcPr>
            <w:tcW w:w="10458" w:type="dxa"/>
            <w:shd w:val="clear" w:color="auto" w:fill="F2F2F2"/>
            <w:vAlign w:val="center"/>
          </w:tcPr>
          <w:p w14:paraId="4B614895"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06C31D1A" w14:textId="77777777" w:rsidTr="00161F93">
        <w:trPr>
          <w:trHeight w:val="620"/>
        </w:trPr>
        <w:tc>
          <w:tcPr>
            <w:tcW w:w="10458" w:type="dxa"/>
          </w:tcPr>
          <w:p w14:paraId="6C755721" w14:textId="77777777" w:rsidR="00F479E6" w:rsidRPr="00A13E65" w:rsidRDefault="00F479E6" w:rsidP="00656519">
            <w:pPr>
              <w:rPr>
                <w:rFonts w:cs="Arial"/>
                <w:b/>
                <w:color w:val="000000" w:themeColor="text1"/>
                <w:sz w:val="8"/>
                <w:szCs w:val="20"/>
                <w:lang w:val="en-GB"/>
              </w:rPr>
            </w:pPr>
          </w:p>
          <w:p w14:paraId="20893868" w14:textId="03610C39" w:rsidR="00CE669D" w:rsidRDefault="00CE669D" w:rsidP="00CE669D">
            <w:pPr>
              <w:spacing w:after="200" w:line="276" w:lineRule="auto"/>
              <w:jc w:val="left"/>
            </w:pPr>
            <w:r>
              <w:t>Management Reporting</w:t>
            </w:r>
          </w:p>
          <w:p w14:paraId="7E09C2F2" w14:textId="68119227" w:rsidR="00C71D6C" w:rsidRDefault="00C71D6C" w:rsidP="00DA4A5A">
            <w:pPr>
              <w:pStyle w:val="ListParagraph"/>
              <w:numPr>
                <w:ilvl w:val="0"/>
                <w:numId w:val="14"/>
              </w:numPr>
              <w:spacing w:after="200" w:line="276" w:lineRule="auto"/>
              <w:jc w:val="left"/>
            </w:pPr>
            <w:r w:rsidRPr="00C71D6C">
              <w:t>Lead the production of monthly management accounts</w:t>
            </w:r>
            <w:r w:rsidR="00625C73">
              <w:t>, including interpretation of results</w:t>
            </w:r>
          </w:p>
          <w:p w14:paraId="67DA36A9" w14:textId="2E202560" w:rsidR="00675990" w:rsidRPr="00675990" w:rsidRDefault="001626E5" w:rsidP="00E7230C">
            <w:pPr>
              <w:pStyle w:val="ListParagraph"/>
              <w:numPr>
                <w:ilvl w:val="0"/>
                <w:numId w:val="14"/>
              </w:numPr>
              <w:spacing w:after="200" w:line="276" w:lineRule="auto"/>
              <w:jc w:val="left"/>
            </w:pPr>
            <w:r>
              <w:t>Ensure that all routine management information is produced in a timely manner, contains reliable information which has been agreed by key stakeholders</w:t>
            </w:r>
          </w:p>
          <w:p w14:paraId="16764602" w14:textId="5DDF05EA" w:rsidR="00675990" w:rsidRDefault="008F5738" w:rsidP="006D21C0">
            <w:pPr>
              <w:pStyle w:val="ListParagraph"/>
              <w:numPr>
                <w:ilvl w:val="0"/>
                <w:numId w:val="14"/>
              </w:numPr>
              <w:spacing w:after="200" w:line="276" w:lineRule="auto"/>
              <w:jc w:val="left"/>
            </w:pPr>
            <w:r>
              <w:t xml:space="preserve">Assist in </w:t>
            </w:r>
            <w:r w:rsidR="002533A4">
              <w:t xml:space="preserve">the production of </w:t>
            </w:r>
            <w:r>
              <w:t xml:space="preserve">reports and presentations to the </w:t>
            </w:r>
            <w:r w:rsidR="00455166">
              <w:t>Regional Leadership</w:t>
            </w:r>
          </w:p>
          <w:p w14:paraId="09B0F4E9" w14:textId="6236A1C6" w:rsidR="008F5738" w:rsidRPr="008F5738" w:rsidRDefault="0026446F" w:rsidP="008F5738">
            <w:pPr>
              <w:pStyle w:val="ListParagraph"/>
              <w:numPr>
                <w:ilvl w:val="0"/>
                <w:numId w:val="14"/>
              </w:numPr>
            </w:pPr>
            <w:r>
              <w:t>Own</w:t>
            </w:r>
            <w:r w:rsidR="00634237">
              <w:t>ership of</w:t>
            </w:r>
            <w:r w:rsidR="008F5738" w:rsidRPr="008F5738">
              <w:t xml:space="preserve"> certain reporting processes and requirements</w:t>
            </w:r>
          </w:p>
          <w:p w14:paraId="1CEE1CEC" w14:textId="77777777" w:rsidR="00455166" w:rsidRDefault="00455166" w:rsidP="001226EA">
            <w:pPr>
              <w:spacing w:after="200" w:line="276" w:lineRule="auto"/>
              <w:jc w:val="left"/>
            </w:pPr>
          </w:p>
          <w:p w14:paraId="21084C84" w14:textId="636E638E" w:rsidR="001226EA" w:rsidRDefault="001226EA" w:rsidP="001226EA">
            <w:pPr>
              <w:spacing w:after="200" w:line="276" w:lineRule="auto"/>
              <w:jc w:val="left"/>
            </w:pPr>
            <w:r>
              <w:t>Decision support</w:t>
            </w:r>
          </w:p>
          <w:p w14:paraId="2120E982" w14:textId="77777777" w:rsidR="00E52E75" w:rsidRPr="00E52E75" w:rsidRDefault="00E52E75" w:rsidP="00E52E75">
            <w:pPr>
              <w:pStyle w:val="ListParagraph"/>
              <w:numPr>
                <w:ilvl w:val="0"/>
                <w:numId w:val="14"/>
              </w:numPr>
            </w:pPr>
            <w:proofErr w:type="spellStart"/>
            <w:r w:rsidRPr="00E52E75">
              <w:t>Analysing</w:t>
            </w:r>
            <w:proofErr w:type="spellEnd"/>
            <w:r w:rsidRPr="00E52E75">
              <w:t xml:space="preserve"> financial and operational results to better understand company performance</w:t>
            </w:r>
          </w:p>
          <w:p w14:paraId="6484D584" w14:textId="41F48AF2" w:rsidR="008D6866" w:rsidRDefault="008D6866" w:rsidP="008D6866">
            <w:pPr>
              <w:pStyle w:val="ListParagraph"/>
              <w:numPr>
                <w:ilvl w:val="0"/>
                <w:numId w:val="14"/>
              </w:numPr>
              <w:spacing w:after="200" w:line="276" w:lineRule="auto"/>
              <w:jc w:val="left"/>
            </w:pPr>
            <w:r w:rsidRPr="008D6866">
              <w:t xml:space="preserve">Use the output of financial models and analysis to </w:t>
            </w:r>
            <w:r w:rsidR="00F24EF6">
              <w:t>support</w:t>
            </w:r>
            <w:r w:rsidRPr="008D6866">
              <w:t xml:space="preserve"> decision making</w:t>
            </w:r>
          </w:p>
          <w:p w14:paraId="3EDD44BF" w14:textId="542B6E7F" w:rsidR="00F24EF6" w:rsidRDefault="00F24EF6" w:rsidP="0087637C">
            <w:pPr>
              <w:pStyle w:val="ListParagraph"/>
              <w:numPr>
                <w:ilvl w:val="0"/>
                <w:numId w:val="14"/>
              </w:numPr>
              <w:spacing w:after="200" w:line="276" w:lineRule="auto"/>
              <w:jc w:val="left"/>
            </w:pPr>
            <w:r>
              <w:t>Ensure the integrity of financial models and projections through implementation of suitable</w:t>
            </w:r>
            <w:r w:rsidR="00E52E75">
              <w:t xml:space="preserve"> </w:t>
            </w:r>
            <w:r>
              <w:t xml:space="preserve">controls, </w:t>
            </w:r>
            <w:r w:rsidR="001639D9">
              <w:t>documentation,</w:t>
            </w:r>
            <w:r>
              <w:t xml:space="preserve"> and testing</w:t>
            </w:r>
          </w:p>
          <w:p w14:paraId="590690BC" w14:textId="346280D0" w:rsidR="00F24EF6" w:rsidRDefault="0026446F" w:rsidP="008D6866">
            <w:pPr>
              <w:pStyle w:val="ListParagraph"/>
              <w:numPr>
                <w:ilvl w:val="0"/>
                <w:numId w:val="14"/>
              </w:numPr>
              <w:spacing w:after="200" w:line="276" w:lineRule="auto"/>
              <w:jc w:val="left"/>
            </w:pPr>
            <w:proofErr w:type="spellStart"/>
            <w:r w:rsidRPr="0026446F">
              <w:t>Analyse</w:t>
            </w:r>
            <w:proofErr w:type="spellEnd"/>
            <w:r w:rsidRPr="0026446F">
              <w:t xml:space="preserve"> competitor and market financial information to provide insight </w:t>
            </w:r>
          </w:p>
          <w:p w14:paraId="3A307991" w14:textId="1EA2436C" w:rsidR="001226EA" w:rsidRDefault="001226EA" w:rsidP="001226EA">
            <w:pPr>
              <w:spacing w:after="200" w:line="276" w:lineRule="auto"/>
              <w:jc w:val="left"/>
            </w:pPr>
            <w:r>
              <w:t>Planning</w:t>
            </w:r>
          </w:p>
          <w:p w14:paraId="6ADD72A3" w14:textId="5F628935" w:rsidR="00771E98" w:rsidRDefault="00771E98" w:rsidP="00997BA1">
            <w:pPr>
              <w:pStyle w:val="ListParagraph"/>
              <w:numPr>
                <w:ilvl w:val="0"/>
                <w:numId w:val="14"/>
              </w:numPr>
              <w:spacing w:after="200" w:line="276" w:lineRule="auto"/>
              <w:jc w:val="left"/>
            </w:pPr>
            <w:r w:rsidRPr="00771E98">
              <w:t xml:space="preserve">Manage </w:t>
            </w:r>
            <w:r w:rsidR="00A03774">
              <w:t xml:space="preserve">annual and quarterly </w:t>
            </w:r>
            <w:r w:rsidRPr="00771E98">
              <w:t>planning process</w:t>
            </w:r>
            <w:r w:rsidR="001639D9">
              <w:t>es</w:t>
            </w:r>
            <w:r w:rsidR="006E0B09">
              <w:t xml:space="preserve">, including </w:t>
            </w:r>
            <w:r w:rsidR="001A11A4">
              <w:t xml:space="preserve">setting </w:t>
            </w:r>
            <w:r w:rsidR="00BB1808">
              <w:t xml:space="preserve">timetables </w:t>
            </w:r>
            <w:r w:rsidR="001A11A4">
              <w:t xml:space="preserve">and sharing </w:t>
            </w:r>
            <w:r w:rsidR="00BB1808">
              <w:t>assumptions</w:t>
            </w:r>
          </w:p>
          <w:p w14:paraId="27079CFC" w14:textId="3E2C76FD" w:rsidR="003F44DA" w:rsidRDefault="00B56FE0" w:rsidP="00EB0E4D">
            <w:pPr>
              <w:pStyle w:val="ListParagraph"/>
              <w:numPr>
                <w:ilvl w:val="0"/>
                <w:numId w:val="14"/>
              </w:numPr>
              <w:spacing w:after="200" w:line="276" w:lineRule="auto"/>
              <w:jc w:val="left"/>
            </w:pPr>
            <w:r>
              <w:t>Delivery of consolidated financial plans</w:t>
            </w:r>
            <w:r w:rsidR="000E1396">
              <w:t xml:space="preserve"> and tracking </w:t>
            </w:r>
            <w:r w:rsidR="004B6AF5">
              <w:t xml:space="preserve">of </w:t>
            </w:r>
            <w:r w:rsidR="006E60E7">
              <w:t>variations</w:t>
            </w:r>
          </w:p>
          <w:p w14:paraId="41F546D7" w14:textId="5522483C" w:rsidR="00D01F0B" w:rsidRPr="000B534A" w:rsidRDefault="00D01F0B" w:rsidP="00EB0E4D">
            <w:pPr>
              <w:pStyle w:val="ListParagraph"/>
              <w:numPr>
                <w:ilvl w:val="0"/>
                <w:numId w:val="14"/>
              </w:numPr>
              <w:spacing w:after="200" w:line="276" w:lineRule="auto"/>
              <w:jc w:val="left"/>
            </w:pPr>
            <w:r>
              <w:t xml:space="preserve">Cash forecasting and </w:t>
            </w:r>
            <w:r w:rsidR="00331B40">
              <w:t>monitoring</w:t>
            </w:r>
          </w:p>
          <w:p w14:paraId="4CEB443C" w14:textId="34416DC2" w:rsidR="004105F8" w:rsidRDefault="005B0AF4" w:rsidP="00964A0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Analysis of </w:t>
            </w:r>
            <w:r w:rsidR="00707820">
              <w:rPr>
                <w:rFonts w:cs="Arial"/>
                <w:color w:val="000000" w:themeColor="text1"/>
                <w:szCs w:val="20"/>
                <w:lang w:val="en-GB"/>
              </w:rPr>
              <w:t xml:space="preserve">plans </w:t>
            </w:r>
            <w:r w:rsidR="003144D4">
              <w:rPr>
                <w:rFonts w:cs="Arial"/>
                <w:color w:val="000000" w:themeColor="text1"/>
                <w:szCs w:val="20"/>
                <w:lang w:val="en-GB"/>
              </w:rPr>
              <w:t xml:space="preserve">ensuring </w:t>
            </w:r>
            <w:r w:rsidR="00B55F53">
              <w:rPr>
                <w:rFonts w:cs="Arial"/>
                <w:color w:val="000000" w:themeColor="text1"/>
                <w:szCs w:val="20"/>
                <w:lang w:val="en-GB"/>
              </w:rPr>
              <w:t xml:space="preserve">variances are </w:t>
            </w:r>
            <w:r w:rsidR="00707820">
              <w:rPr>
                <w:rFonts w:cs="Arial"/>
                <w:color w:val="000000" w:themeColor="text1"/>
                <w:szCs w:val="20"/>
                <w:lang w:val="en-GB"/>
              </w:rPr>
              <w:t>understood,</w:t>
            </w:r>
            <w:r w:rsidR="00B55F53">
              <w:rPr>
                <w:rFonts w:cs="Arial"/>
                <w:color w:val="000000" w:themeColor="text1"/>
                <w:szCs w:val="20"/>
                <w:lang w:val="en-GB"/>
              </w:rPr>
              <w:t xml:space="preserve"> and risks and opportunities are highlighted</w:t>
            </w:r>
          </w:p>
          <w:p w14:paraId="5F0EEF6B" w14:textId="77777777" w:rsidR="00707820" w:rsidRDefault="00707820" w:rsidP="00707820">
            <w:pPr>
              <w:pStyle w:val="ListParagraph"/>
              <w:numPr>
                <w:ilvl w:val="0"/>
                <w:numId w:val="14"/>
              </w:numPr>
              <w:rPr>
                <w:rFonts w:cs="Arial"/>
                <w:color w:val="000000" w:themeColor="text1"/>
                <w:szCs w:val="20"/>
                <w:lang w:val="en-GB"/>
              </w:rPr>
            </w:pPr>
            <w:r w:rsidRPr="00707820">
              <w:rPr>
                <w:rFonts w:cs="Arial"/>
                <w:color w:val="000000" w:themeColor="text1"/>
                <w:szCs w:val="20"/>
                <w:lang w:val="en-GB"/>
              </w:rPr>
              <w:t xml:space="preserve">Provide strategic and long-term financial planning support </w:t>
            </w:r>
          </w:p>
          <w:p w14:paraId="01FEA25B" w14:textId="77777777" w:rsidR="0095655C" w:rsidRDefault="0095655C" w:rsidP="0095655C">
            <w:pPr>
              <w:pStyle w:val="ListParagraph"/>
              <w:ind w:left="360"/>
              <w:rPr>
                <w:rFonts w:cs="Arial"/>
                <w:color w:val="000000" w:themeColor="text1"/>
                <w:szCs w:val="20"/>
                <w:lang w:val="en-GB"/>
              </w:rPr>
            </w:pPr>
          </w:p>
          <w:p w14:paraId="461DEA8D" w14:textId="146FA1BC" w:rsidR="0095655C" w:rsidRDefault="00AC3BCE" w:rsidP="00AC3BCE">
            <w:pPr>
              <w:pStyle w:val="ListParagraph"/>
              <w:ind w:left="0"/>
              <w:rPr>
                <w:rFonts w:cs="Arial"/>
                <w:color w:val="000000" w:themeColor="text1"/>
                <w:szCs w:val="20"/>
                <w:lang w:val="en-GB"/>
              </w:rPr>
            </w:pPr>
            <w:r>
              <w:rPr>
                <w:rFonts w:cs="Arial"/>
                <w:color w:val="000000" w:themeColor="text1"/>
                <w:szCs w:val="20"/>
                <w:lang w:val="en-GB"/>
              </w:rPr>
              <w:t>Other</w:t>
            </w:r>
          </w:p>
          <w:p w14:paraId="0D83266A" w14:textId="77777777" w:rsidR="00AC3BCE" w:rsidRDefault="00AC3BCE" w:rsidP="0095655C">
            <w:pPr>
              <w:pStyle w:val="ListParagraph"/>
              <w:ind w:left="360"/>
              <w:rPr>
                <w:rFonts w:cs="Arial"/>
                <w:color w:val="000000" w:themeColor="text1"/>
                <w:szCs w:val="20"/>
                <w:lang w:val="en-GB"/>
              </w:rPr>
            </w:pPr>
          </w:p>
          <w:p w14:paraId="6D525BF2" w14:textId="20A71D5B" w:rsidR="00331B40" w:rsidRDefault="00331B40" w:rsidP="00331B40">
            <w:pPr>
              <w:pStyle w:val="ListParagraph"/>
              <w:numPr>
                <w:ilvl w:val="0"/>
                <w:numId w:val="14"/>
              </w:numPr>
              <w:rPr>
                <w:rFonts w:cs="Arial"/>
                <w:color w:val="000000" w:themeColor="text1"/>
                <w:szCs w:val="20"/>
                <w:lang w:val="en-GB"/>
              </w:rPr>
            </w:pPr>
            <w:r>
              <w:rPr>
                <w:rFonts w:cs="Arial"/>
                <w:color w:val="000000" w:themeColor="text1"/>
                <w:szCs w:val="20"/>
                <w:lang w:val="en-GB"/>
              </w:rPr>
              <w:t>I</w:t>
            </w:r>
            <w:r w:rsidRPr="000C7A23">
              <w:rPr>
                <w:rFonts w:cs="Arial"/>
                <w:color w:val="000000" w:themeColor="text1"/>
                <w:szCs w:val="20"/>
                <w:lang w:val="en-GB"/>
              </w:rPr>
              <w:t>dentifying and implementing efficiency and</w:t>
            </w:r>
            <w:r>
              <w:rPr>
                <w:rFonts w:cs="Arial"/>
                <w:color w:val="000000" w:themeColor="text1"/>
                <w:szCs w:val="20"/>
                <w:lang w:val="en-GB"/>
              </w:rPr>
              <w:t xml:space="preserve"> </w:t>
            </w:r>
            <w:r w:rsidRPr="000C7A23">
              <w:rPr>
                <w:rFonts w:cs="Arial"/>
                <w:color w:val="000000" w:themeColor="text1"/>
                <w:szCs w:val="20"/>
                <w:lang w:val="en-GB"/>
              </w:rPr>
              <w:t>improvements</w:t>
            </w:r>
            <w:r>
              <w:rPr>
                <w:rFonts w:cs="Arial"/>
                <w:color w:val="000000" w:themeColor="text1"/>
                <w:szCs w:val="20"/>
                <w:lang w:val="en-GB"/>
              </w:rPr>
              <w:t xml:space="preserve"> in processes</w:t>
            </w:r>
          </w:p>
          <w:p w14:paraId="39EFD87F" w14:textId="71BC1AA5" w:rsidR="00B878EE" w:rsidRDefault="00B878EE" w:rsidP="00F24173">
            <w:pPr>
              <w:pStyle w:val="ListParagraph"/>
              <w:numPr>
                <w:ilvl w:val="0"/>
                <w:numId w:val="14"/>
              </w:numPr>
              <w:rPr>
                <w:rFonts w:cs="Arial"/>
                <w:color w:val="000000" w:themeColor="text1"/>
                <w:szCs w:val="20"/>
                <w:lang w:val="en-GB"/>
              </w:rPr>
            </w:pPr>
            <w:r w:rsidRPr="00B878EE">
              <w:rPr>
                <w:rFonts w:cs="Arial"/>
                <w:color w:val="000000" w:themeColor="text1"/>
                <w:szCs w:val="20"/>
                <w:lang w:val="en-GB"/>
              </w:rPr>
              <w:t xml:space="preserve">Custodian of regional </w:t>
            </w:r>
            <w:proofErr w:type="spellStart"/>
            <w:r w:rsidRPr="00B878EE">
              <w:rPr>
                <w:rFonts w:cs="Arial"/>
                <w:color w:val="000000" w:themeColor="text1"/>
                <w:szCs w:val="20"/>
                <w:lang w:val="en-GB"/>
              </w:rPr>
              <w:t>masterdata</w:t>
            </w:r>
            <w:proofErr w:type="spellEnd"/>
            <w:r w:rsidRPr="00B878EE">
              <w:rPr>
                <w:rFonts w:cs="Arial"/>
                <w:color w:val="000000" w:themeColor="text1"/>
                <w:szCs w:val="20"/>
                <w:lang w:val="en-GB"/>
              </w:rPr>
              <w:t xml:space="preserve"> governance</w:t>
            </w:r>
          </w:p>
          <w:p w14:paraId="5DE67639" w14:textId="08979305" w:rsidR="00331B40" w:rsidRDefault="0095655C" w:rsidP="00F24173">
            <w:pPr>
              <w:pStyle w:val="ListParagraph"/>
              <w:numPr>
                <w:ilvl w:val="0"/>
                <w:numId w:val="14"/>
              </w:numPr>
              <w:rPr>
                <w:rFonts w:cs="Arial"/>
                <w:color w:val="000000" w:themeColor="text1"/>
                <w:szCs w:val="20"/>
                <w:lang w:val="en-GB"/>
              </w:rPr>
            </w:pPr>
            <w:r w:rsidRPr="005223DD">
              <w:rPr>
                <w:rFonts w:cs="Arial"/>
                <w:color w:val="000000" w:themeColor="text1"/>
                <w:szCs w:val="20"/>
                <w:lang w:val="en-GB"/>
              </w:rPr>
              <w:t>Act as the finance lead / participate in projects as required</w:t>
            </w:r>
          </w:p>
          <w:p w14:paraId="21859BBC" w14:textId="7B6A56EB" w:rsidR="00707820" w:rsidRDefault="002F5CBC" w:rsidP="00D315B8">
            <w:pPr>
              <w:pStyle w:val="ListParagraph"/>
              <w:numPr>
                <w:ilvl w:val="0"/>
                <w:numId w:val="14"/>
              </w:numPr>
              <w:rPr>
                <w:rFonts w:cs="Arial"/>
                <w:color w:val="000000" w:themeColor="text1"/>
                <w:szCs w:val="20"/>
                <w:lang w:val="en-GB"/>
              </w:rPr>
            </w:pPr>
            <w:r>
              <w:rPr>
                <w:rFonts w:cs="Arial"/>
                <w:color w:val="000000" w:themeColor="text1"/>
                <w:szCs w:val="20"/>
                <w:lang w:val="en-GB"/>
              </w:rPr>
              <w:t>Lead a small number of direct reports, including setting objectives, m</w:t>
            </w:r>
            <w:r w:rsidR="0019730C" w:rsidRPr="0019730C">
              <w:rPr>
                <w:rFonts w:cs="Arial"/>
                <w:color w:val="000000" w:themeColor="text1"/>
                <w:szCs w:val="20"/>
                <w:lang w:val="en-GB"/>
              </w:rPr>
              <w:t>anag</w:t>
            </w:r>
            <w:r>
              <w:rPr>
                <w:rFonts w:cs="Arial"/>
                <w:color w:val="000000" w:themeColor="text1"/>
                <w:szCs w:val="20"/>
                <w:lang w:val="en-GB"/>
              </w:rPr>
              <w:t xml:space="preserve">ing/organising work and </w:t>
            </w:r>
            <w:r w:rsidR="00D315B8">
              <w:rPr>
                <w:rFonts w:cs="Arial"/>
                <w:color w:val="000000" w:themeColor="text1"/>
                <w:szCs w:val="20"/>
                <w:lang w:val="en-GB"/>
              </w:rPr>
              <w:t xml:space="preserve">devoting time to coaching and training. </w:t>
            </w:r>
          </w:p>
          <w:p w14:paraId="7F666F5B" w14:textId="77777777" w:rsidR="00331B40" w:rsidRDefault="00331B40" w:rsidP="00331B40">
            <w:pPr>
              <w:pStyle w:val="ListParagraph"/>
              <w:ind w:left="360"/>
              <w:rPr>
                <w:rFonts w:cs="Arial"/>
                <w:color w:val="000000" w:themeColor="text1"/>
                <w:szCs w:val="20"/>
                <w:lang w:val="en-GB"/>
              </w:rPr>
            </w:pPr>
          </w:p>
          <w:p w14:paraId="1EC85720" w14:textId="480AA067" w:rsidR="00A62CF2" w:rsidRPr="00CE227D" w:rsidRDefault="00A62CF2" w:rsidP="00E62052">
            <w:pPr>
              <w:pStyle w:val="ListParagraph"/>
              <w:ind w:left="360"/>
              <w:rPr>
                <w:rFonts w:cs="Arial"/>
                <w:color w:val="000000" w:themeColor="text1"/>
                <w:szCs w:val="20"/>
                <w:lang w:val="en-GB"/>
              </w:rPr>
            </w:pPr>
          </w:p>
        </w:tc>
      </w:tr>
    </w:tbl>
    <w:p w14:paraId="064023F3"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3BB963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5AFC8EA"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0DEDA79" w14:textId="77777777" w:rsidTr="00161F93">
        <w:trPr>
          <w:trHeight w:val="620"/>
        </w:trPr>
        <w:tc>
          <w:tcPr>
            <w:tcW w:w="10456" w:type="dxa"/>
            <w:tcBorders>
              <w:top w:val="nil"/>
              <w:left w:val="single" w:sz="2" w:space="0" w:color="auto"/>
              <w:bottom w:val="single" w:sz="4" w:space="0" w:color="auto"/>
              <w:right w:val="single" w:sz="4" w:space="0" w:color="auto"/>
            </w:tcBorders>
          </w:tcPr>
          <w:p w14:paraId="3BE0240F" w14:textId="7A121047" w:rsidR="002918DF" w:rsidRDefault="000F4D32" w:rsidP="002918DF">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Accurate, timely and insightful </w:t>
            </w:r>
            <w:r w:rsidR="001A41A3">
              <w:rPr>
                <w:rFonts w:cs="Arial"/>
                <w:color w:val="000000" w:themeColor="text1"/>
                <w:szCs w:val="20"/>
                <w:lang w:val="en-GB"/>
              </w:rPr>
              <w:t xml:space="preserve">monthly management accounts </w:t>
            </w:r>
          </w:p>
          <w:p w14:paraId="0ECCAB56" w14:textId="339D3201" w:rsidR="00340760" w:rsidRPr="000B534A" w:rsidRDefault="000F4D32" w:rsidP="00340760">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Financial analysis to </w:t>
            </w:r>
            <w:r w:rsidR="00971F48">
              <w:rPr>
                <w:rFonts w:cs="Arial"/>
                <w:color w:val="000000" w:themeColor="text1"/>
                <w:szCs w:val="20"/>
                <w:lang w:val="en-GB"/>
              </w:rPr>
              <w:t>support data led decision</w:t>
            </w:r>
          </w:p>
          <w:p w14:paraId="4B2B6D67" w14:textId="77777777" w:rsidR="00767B33" w:rsidRDefault="00971F48" w:rsidP="00971F48">
            <w:pPr>
              <w:numPr>
                <w:ilvl w:val="0"/>
                <w:numId w:val="3"/>
              </w:numPr>
              <w:spacing w:before="40"/>
              <w:jc w:val="left"/>
              <w:rPr>
                <w:rFonts w:cs="Arial"/>
                <w:color w:val="000000" w:themeColor="text1"/>
                <w:szCs w:val="20"/>
                <w:lang w:val="en-GB"/>
              </w:rPr>
            </w:pPr>
            <w:r>
              <w:rPr>
                <w:rFonts w:cs="Arial"/>
                <w:color w:val="000000" w:themeColor="text1"/>
                <w:szCs w:val="20"/>
                <w:lang w:val="en-GB"/>
              </w:rPr>
              <w:t>Delivery of annual and quarterly financial planning requirements</w:t>
            </w:r>
          </w:p>
          <w:p w14:paraId="0260EAD7" w14:textId="77777777" w:rsidR="00971F48" w:rsidRDefault="00225679" w:rsidP="00971F48">
            <w:pPr>
              <w:numPr>
                <w:ilvl w:val="0"/>
                <w:numId w:val="3"/>
              </w:numPr>
              <w:spacing w:before="40"/>
              <w:jc w:val="left"/>
              <w:rPr>
                <w:rFonts w:cs="Arial"/>
                <w:color w:val="000000" w:themeColor="text1"/>
                <w:szCs w:val="20"/>
                <w:lang w:val="en-GB"/>
              </w:rPr>
            </w:pPr>
            <w:r>
              <w:rPr>
                <w:rFonts w:cs="Arial"/>
                <w:color w:val="000000" w:themeColor="text1"/>
                <w:szCs w:val="20"/>
                <w:lang w:val="en-GB"/>
              </w:rPr>
              <w:t>Modelling and analysis to supporting strategic planning process</w:t>
            </w:r>
          </w:p>
          <w:p w14:paraId="0E781C35" w14:textId="5D7591A2" w:rsidR="00225679" w:rsidRPr="002B7A5C" w:rsidRDefault="00225679" w:rsidP="00225679">
            <w:pPr>
              <w:spacing w:before="40"/>
              <w:ind w:left="720"/>
              <w:jc w:val="left"/>
              <w:rPr>
                <w:rFonts w:cs="Arial"/>
                <w:color w:val="000000" w:themeColor="text1"/>
                <w:szCs w:val="20"/>
                <w:lang w:val="en-GB"/>
              </w:rPr>
            </w:pPr>
          </w:p>
        </w:tc>
      </w:tr>
    </w:tbl>
    <w:p w14:paraId="707016CA"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87B21B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727447D"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DB6DF6C" w14:textId="77777777" w:rsidTr="004238D8">
        <w:trPr>
          <w:trHeight w:val="620"/>
        </w:trPr>
        <w:tc>
          <w:tcPr>
            <w:tcW w:w="10458" w:type="dxa"/>
            <w:tcBorders>
              <w:top w:val="nil"/>
              <w:left w:val="single" w:sz="2" w:space="0" w:color="auto"/>
              <w:bottom w:val="single" w:sz="4" w:space="0" w:color="auto"/>
              <w:right w:val="single" w:sz="4" w:space="0" w:color="auto"/>
            </w:tcBorders>
          </w:tcPr>
          <w:p w14:paraId="0047B9C8" w14:textId="77777777" w:rsidR="00307A0F" w:rsidRPr="00822DF8" w:rsidRDefault="00307A0F" w:rsidP="00307A0F">
            <w:pPr>
              <w:pStyle w:val="ListParagraph"/>
              <w:numPr>
                <w:ilvl w:val="0"/>
                <w:numId w:val="3"/>
              </w:numPr>
              <w:spacing w:after="200" w:line="276" w:lineRule="auto"/>
              <w:jc w:val="left"/>
            </w:pPr>
            <w:r w:rsidRPr="00822DF8">
              <w:t>Qualified accountant (ACA / ACCA / CIMA)</w:t>
            </w:r>
          </w:p>
          <w:p w14:paraId="2D5A8283" w14:textId="45C305F0" w:rsidR="00E84936" w:rsidRDefault="00E84936" w:rsidP="00974AF3">
            <w:pPr>
              <w:pStyle w:val="ListParagraph"/>
              <w:numPr>
                <w:ilvl w:val="0"/>
                <w:numId w:val="3"/>
              </w:numPr>
              <w:spacing w:after="200" w:line="276" w:lineRule="auto"/>
              <w:jc w:val="left"/>
            </w:pPr>
            <w:r w:rsidRPr="00E84936">
              <w:t>Strong financial acumen, including technical accounting, finance systems, operational and financial planning</w:t>
            </w:r>
          </w:p>
          <w:p w14:paraId="623D2354" w14:textId="0CAEEA2D" w:rsidR="003A23C0" w:rsidRDefault="003A23C0" w:rsidP="00974AF3">
            <w:pPr>
              <w:pStyle w:val="ListParagraph"/>
              <w:numPr>
                <w:ilvl w:val="0"/>
                <w:numId w:val="3"/>
              </w:numPr>
              <w:spacing w:after="200" w:line="276" w:lineRule="auto"/>
              <w:jc w:val="left"/>
            </w:pPr>
            <w:r w:rsidRPr="003A23C0">
              <w:t xml:space="preserve">Excellent modelling and financial analytics skills </w:t>
            </w:r>
          </w:p>
          <w:p w14:paraId="2498B629" w14:textId="7B66EEF9" w:rsidR="00121C35" w:rsidRDefault="00121C35" w:rsidP="00974AF3">
            <w:pPr>
              <w:pStyle w:val="ListParagraph"/>
              <w:numPr>
                <w:ilvl w:val="0"/>
                <w:numId w:val="3"/>
              </w:numPr>
              <w:spacing w:after="200" w:line="276" w:lineRule="auto"/>
              <w:jc w:val="left"/>
            </w:pPr>
            <w:r w:rsidRPr="00121C35">
              <w:t>Great conceptual thinker</w:t>
            </w:r>
          </w:p>
          <w:p w14:paraId="54F817A6" w14:textId="78A8B82A" w:rsidR="00A44182" w:rsidRDefault="00A44182" w:rsidP="00974AF3">
            <w:pPr>
              <w:pStyle w:val="ListParagraph"/>
              <w:numPr>
                <w:ilvl w:val="0"/>
                <w:numId w:val="3"/>
              </w:numPr>
              <w:spacing w:after="200" w:line="276" w:lineRule="auto"/>
              <w:jc w:val="left"/>
            </w:pPr>
            <w:r w:rsidRPr="00A44182">
              <w:t>Strong interpersonal, communication and presentation skills (written and verbal)</w:t>
            </w:r>
          </w:p>
          <w:p w14:paraId="50D4D9CE" w14:textId="77777777" w:rsidR="00A44182" w:rsidRPr="00A44182" w:rsidRDefault="00A44182" w:rsidP="00A44182">
            <w:pPr>
              <w:pStyle w:val="ListParagraph"/>
              <w:numPr>
                <w:ilvl w:val="0"/>
                <w:numId w:val="3"/>
              </w:numPr>
            </w:pPr>
            <w:r w:rsidRPr="00A44182">
              <w:t xml:space="preserve">Organized and able to build plans to meet changing priorities and deadlines. </w:t>
            </w:r>
          </w:p>
          <w:p w14:paraId="7BF0A21D" w14:textId="77777777" w:rsidR="00685073" w:rsidRPr="00685073" w:rsidRDefault="00685073" w:rsidP="00685073">
            <w:pPr>
              <w:pStyle w:val="ListParagraph"/>
              <w:numPr>
                <w:ilvl w:val="0"/>
                <w:numId w:val="3"/>
              </w:numPr>
            </w:pPr>
            <w:r w:rsidRPr="00685073">
              <w:t>Takes ownership and initiative</w:t>
            </w:r>
          </w:p>
          <w:p w14:paraId="7B1E5409" w14:textId="35C79C59" w:rsidR="00121C35" w:rsidRDefault="00121C35" w:rsidP="00974AF3">
            <w:pPr>
              <w:pStyle w:val="ListParagraph"/>
              <w:numPr>
                <w:ilvl w:val="0"/>
                <w:numId w:val="3"/>
              </w:numPr>
              <w:spacing w:after="200" w:line="276" w:lineRule="auto"/>
              <w:jc w:val="left"/>
            </w:pPr>
            <w:r w:rsidRPr="00121C35">
              <w:t>Ability to navigate through a matrix organization structure and deliver results in a multi- stakeholder and consultative culture</w:t>
            </w:r>
          </w:p>
          <w:p w14:paraId="4955AD77" w14:textId="77777777" w:rsidR="005F799E" w:rsidRDefault="005F799E" w:rsidP="005F799E">
            <w:pPr>
              <w:pStyle w:val="ListParagraph"/>
              <w:numPr>
                <w:ilvl w:val="0"/>
                <w:numId w:val="3"/>
              </w:numPr>
              <w:spacing w:after="200" w:line="276" w:lineRule="auto"/>
              <w:jc w:val="left"/>
            </w:pPr>
            <w:r w:rsidRPr="00A44182">
              <w:t>Flexible and pragmatic</w:t>
            </w:r>
          </w:p>
          <w:p w14:paraId="1BC13264" w14:textId="43132B2F" w:rsidR="005F799E" w:rsidRPr="004238D8" w:rsidRDefault="005F799E" w:rsidP="00685073">
            <w:pPr>
              <w:pStyle w:val="ListParagraph"/>
              <w:spacing w:after="200" w:line="276" w:lineRule="auto"/>
              <w:jc w:val="left"/>
            </w:pPr>
          </w:p>
        </w:tc>
      </w:tr>
    </w:tbl>
    <w:p w14:paraId="4BA61BCF" w14:textId="77777777" w:rsidR="005036F7" w:rsidRDefault="005036F7"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90DEBD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E85AB6B"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29EF749B" w14:textId="77777777" w:rsidTr="0007446E">
        <w:trPr>
          <w:trHeight w:val="620"/>
        </w:trPr>
        <w:tc>
          <w:tcPr>
            <w:tcW w:w="10456" w:type="dxa"/>
            <w:tcBorders>
              <w:top w:val="nil"/>
              <w:left w:val="single" w:sz="2" w:space="0" w:color="auto"/>
              <w:bottom w:val="single" w:sz="4" w:space="0" w:color="auto"/>
              <w:right w:val="single" w:sz="4" w:space="0" w:color="auto"/>
            </w:tcBorders>
          </w:tcPr>
          <w:p w14:paraId="161D1A8E"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8"/>
            </w:tblGrid>
            <w:tr w:rsidR="00EA3990" w:rsidRPr="00375F11" w14:paraId="59BE4689" w14:textId="77777777" w:rsidTr="00F22F07">
              <w:tc>
                <w:tcPr>
                  <w:tcW w:w="4473" w:type="dxa"/>
                </w:tcPr>
                <w:p w14:paraId="75907AB2" w14:textId="01806F25" w:rsidR="00EA3990" w:rsidRPr="00375F11" w:rsidRDefault="00685073" w:rsidP="005F46F0">
                  <w:pPr>
                    <w:pStyle w:val="Puces4"/>
                    <w:framePr w:hSpace="180" w:wrap="around" w:vAnchor="text" w:hAnchor="margin" w:xAlign="center" w:y="192"/>
                  </w:pPr>
                  <w:r>
                    <w:t>Analysis and decision making</w:t>
                  </w:r>
                </w:p>
              </w:tc>
              <w:tc>
                <w:tcPr>
                  <w:tcW w:w="4528" w:type="dxa"/>
                </w:tcPr>
                <w:p w14:paraId="42BFF8F2" w14:textId="21341A39" w:rsidR="00EA3990" w:rsidRPr="00375F11" w:rsidRDefault="005D30C9" w:rsidP="005F46F0">
                  <w:pPr>
                    <w:pStyle w:val="Puces4"/>
                    <w:framePr w:hSpace="180" w:wrap="around" w:vAnchor="text" w:hAnchor="margin" w:xAlign="center" w:y="192"/>
                  </w:pPr>
                  <w:r>
                    <w:t>Work to tight deadlines</w:t>
                  </w:r>
                </w:p>
              </w:tc>
            </w:tr>
            <w:tr w:rsidR="00F94AE1" w:rsidRPr="00375F11" w14:paraId="6DBC3DDD" w14:textId="77777777" w:rsidTr="00F22F07">
              <w:tc>
                <w:tcPr>
                  <w:tcW w:w="4473" w:type="dxa"/>
                </w:tcPr>
                <w:p w14:paraId="73A4E1D0" w14:textId="23826E19" w:rsidR="00F94AE1" w:rsidRPr="00375F11" w:rsidRDefault="00F94AE1" w:rsidP="005F46F0">
                  <w:pPr>
                    <w:pStyle w:val="Puces4"/>
                    <w:framePr w:hSpace="180" w:wrap="around" w:vAnchor="text" w:hAnchor="margin" w:xAlign="center" w:y="192"/>
                  </w:pPr>
                  <w:r>
                    <w:t>Team player</w:t>
                  </w:r>
                </w:p>
              </w:tc>
              <w:tc>
                <w:tcPr>
                  <w:tcW w:w="4528" w:type="dxa"/>
                </w:tcPr>
                <w:p w14:paraId="1777E5EC" w14:textId="2CFC29E8" w:rsidR="00F94AE1" w:rsidRPr="00375F11" w:rsidRDefault="00F94AE1" w:rsidP="005F46F0">
                  <w:pPr>
                    <w:pStyle w:val="Puces4"/>
                    <w:framePr w:hSpace="180" w:wrap="around" w:vAnchor="text" w:hAnchor="margin" w:xAlign="center" w:y="192"/>
                  </w:pPr>
                  <w:r>
                    <w:t>Communicates effectively</w:t>
                  </w:r>
                </w:p>
              </w:tc>
            </w:tr>
            <w:tr w:rsidR="00F94AE1" w14:paraId="69CC8AE4" w14:textId="77777777" w:rsidTr="00F22F07">
              <w:tblPrEx>
                <w:tblLook w:val="0000" w:firstRow="0" w:lastRow="0" w:firstColumn="0" w:lastColumn="0" w:noHBand="0" w:noVBand="0"/>
              </w:tblPrEx>
              <w:trPr>
                <w:trHeight w:val="273"/>
              </w:trPr>
              <w:tc>
                <w:tcPr>
                  <w:tcW w:w="4473" w:type="dxa"/>
                </w:tcPr>
                <w:p w14:paraId="699E2ACA" w14:textId="264EF7CF" w:rsidR="00F94AE1" w:rsidRPr="00393348" w:rsidRDefault="00F94AE1" w:rsidP="005F46F0">
                  <w:pPr>
                    <w:pStyle w:val="Puces4"/>
                    <w:framePr w:hSpace="180" w:wrap="around" w:vAnchor="text" w:hAnchor="margin" w:xAlign="center" w:y="192"/>
                    <w:rPr>
                      <w:color w:val="000000" w:themeColor="text1"/>
                      <w:szCs w:val="20"/>
                    </w:rPr>
                  </w:pPr>
                  <w:r>
                    <w:rPr>
                      <w:color w:val="000000" w:themeColor="text1"/>
                      <w:szCs w:val="20"/>
                    </w:rPr>
                    <w:t>Optimises work processes</w:t>
                  </w:r>
                </w:p>
              </w:tc>
              <w:tc>
                <w:tcPr>
                  <w:tcW w:w="4528" w:type="dxa"/>
                </w:tcPr>
                <w:p w14:paraId="73DC699C" w14:textId="60E078DA" w:rsidR="00F94AE1" w:rsidRDefault="00F94AE1" w:rsidP="005F46F0">
                  <w:pPr>
                    <w:pStyle w:val="Puces4"/>
                    <w:framePr w:hSpace="180" w:wrap="around" w:vAnchor="text" w:hAnchor="margin" w:xAlign="center" w:y="192"/>
                  </w:pPr>
                  <w:r>
                    <w:t>Collaborates</w:t>
                  </w:r>
                </w:p>
              </w:tc>
            </w:tr>
          </w:tbl>
          <w:p w14:paraId="104B0AF1" w14:textId="77777777" w:rsidR="00EA3990" w:rsidRPr="00EA3990" w:rsidRDefault="00EA3990" w:rsidP="00EA3990">
            <w:pPr>
              <w:spacing w:before="40"/>
              <w:ind w:left="720"/>
              <w:jc w:val="left"/>
              <w:rPr>
                <w:rFonts w:cs="Arial"/>
                <w:color w:val="000000" w:themeColor="text1"/>
                <w:szCs w:val="20"/>
                <w:lang w:val="en-GB"/>
              </w:rPr>
            </w:pPr>
          </w:p>
        </w:tc>
      </w:tr>
    </w:tbl>
    <w:p w14:paraId="62591980"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030836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F343060"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18E428FD" w14:textId="77777777" w:rsidTr="00353228">
        <w:trPr>
          <w:trHeight w:val="620"/>
        </w:trPr>
        <w:tc>
          <w:tcPr>
            <w:tcW w:w="10456" w:type="dxa"/>
            <w:tcBorders>
              <w:top w:val="nil"/>
              <w:left w:val="single" w:sz="2" w:space="0" w:color="auto"/>
              <w:bottom w:val="single" w:sz="4" w:space="0" w:color="auto"/>
              <w:right w:val="single" w:sz="4" w:space="0" w:color="auto"/>
            </w:tcBorders>
          </w:tcPr>
          <w:p w14:paraId="402EE169"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2520103" w14:textId="77777777" w:rsidTr="00E57078">
              <w:tc>
                <w:tcPr>
                  <w:tcW w:w="2122" w:type="dxa"/>
                </w:tcPr>
                <w:p w14:paraId="618A59CD" w14:textId="77777777" w:rsidR="00E57078" w:rsidRDefault="00E57078" w:rsidP="005F46F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13A3F374" w14:textId="77777777" w:rsidR="00E57078" w:rsidRDefault="0086742D" w:rsidP="005F46F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13BF64C9" w14:textId="77777777" w:rsidR="00E57078" w:rsidRDefault="00E57078" w:rsidP="005F46F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08A3CFA" w14:textId="6D11B67E" w:rsidR="00E57078" w:rsidRDefault="00B4681F" w:rsidP="005F46F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23/03/2023</w:t>
                  </w:r>
                </w:p>
              </w:tc>
            </w:tr>
            <w:tr w:rsidR="00E57078" w14:paraId="12773815" w14:textId="77777777" w:rsidTr="00E57078">
              <w:tc>
                <w:tcPr>
                  <w:tcW w:w="2122" w:type="dxa"/>
                </w:tcPr>
                <w:p w14:paraId="5EFDA0C9" w14:textId="77777777" w:rsidR="00E57078" w:rsidRDefault="00E57078" w:rsidP="005F46F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30E30E9" w14:textId="29C03315" w:rsidR="00E57078" w:rsidRDefault="00E57078" w:rsidP="005F46F0">
                  <w:pPr>
                    <w:framePr w:hSpace="180" w:wrap="around" w:vAnchor="text" w:hAnchor="margin" w:xAlign="center" w:y="192"/>
                    <w:spacing w:before="40"/>
                    <w:jc w:val="left"/>
                    <w:rPr>
                      <w:rFonts w:cs="Arial"/>
                      <w:color w:val="000000" w:themeColor="text1"/>
                      <w:szCs w:val="20"/>
                      <w:lang w:val="en-GB"/>
                    </w:rPr>
                  </w:pPr>
                </w:p>
              </w:tc>
            </w:tr>
          </w:tbl>
          <w:p w14:paraId="02AF4484" w14:textId="77777777" w:rsidR="00E57078" w:rsidRPr="00EA3990" w:rsidRDefault="00E57078" w:rsidP="00353228">
            <w:pPr>
              <w:spacing w:before="40"/>
              <w:ind w:left="720"/>
              <w:jc w:val="left"/>
              <w:rPr>
                <w:rFonts w:cs="Arial"/>
                <w:color w:val="000000" w:themeColor="text1"/>
                <w:szCs w:val="20"/>
                <w:lang w:val="en-GB"/>
              </w:rPr>
            </w:pPr>
          </w:p>
        </w:tc>
      </w:tr>
    </w:tbl>
    <w:p w14:paraId="04052BC3" w14:textId="77777777" w:rsidR="00E57078" w:rsidRPr="00366A73" w:rsidRDefault="00E57078" w:rsidP="002B7A5C">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171" w:hanging="171"/>
      </w:pPr>
      <w:rPr>
        <w:rFonts w:ascii="Symbol" w:hAnsi="Symbol" w:hint="default"/>
        <w:color w:val="C60009"/>
        <w:sz w:val="24"/>
        <w:szCs w:val="24"/>
      </w:rPr>
    </w:lvl>
    <w:lvl w:ilvl="1" w:tplc="AC4C604A">
      <w:start w:val="1"/>
      <w:numFmt w:val="bullet"/>
      <w:lvlText w:val=""/>
      <w:lvlJc w:val="left"/>
      <w:pPr>
        <w:ind w:left="388" w:hanging="360"/>
      </w:pPr>
      <w:rPr>
        <w:rFonts w:ascii="Symbol" w:hAnsi="Symbol" w:hint="default"/>
        <w:color w:val="C60009"/>
        <w:sz w:val="20"/>
        <w:szCs w:val="20"/>
      </w:rPr>
    </w:lvl>
    <w:lvl w:ilvl="2" w:tplc="AC4C604A">
      <w:start w:val="1"/>
      <w:numFmt w:val="bullet"/>
      <w:lvlText w:val=""/>
      <w:lvlJc w:val="left"/>
      <w:pPr>
        <w:ind w:left="2075" w:hanging="360"/>
      </w:pPr>
      <w:rPr>
        <w:rFonts w:ascii="Symbol" w:hAnsi="Symbol" w:hint="default"/>
        <w:color w:val="C60009"/>
      </w:rPr>
    </w:lvl>
    <w:lvl w:ilvl="3" w:tplc="040C0001" w:tentative="1">
      <w:start w:val="1"/>
      <w:numFmt w:val="bullet"/>
      <w:lvlText w:val=""/>
      <w:lvlJc w:val="left"/>
      <w:pPr>
        <w:ind w:left="2795" w:hanging="360"/>
      </w:pPr>
      <w:rPr>
        <w:rFonts w:ascii="Symbol" w:hAnsi="Symbol" w:hint="default"/>
      </w:rPr>
    </w:lvl>
    <w:lvl w:ilvl="4" w:tplc="040C0003" w:tentative="1">
      <w:start w:val="1"/>
      <w:numFmt w:val="bullet"/>
      <w:lvlText w:val="o"/>
      <w:lvlJc w:val="left"/>
      <w:pPr>
        <w:ind w:left="3515" w:hanging="360"/>
      </w:pPr>
      <w:rPr>
        <w:rFonts w:ascii="Courier New" w:hAnsi="Courier New" w:cs="Courier New" w:hint="default"/>
      </w:rPr>
    </w:lvl>
    <w:lvl w:ilvl="5" w:tplc="040C0005" w:tentative="1">
      <w:start w:val="1"/>
      <w:numFmt w:val="bullet"/>
      <w:lvlText w:val=""/>
      <w:lvlJc w:val="left"/>
      <w:pPr>
        <w:ind w:left="4235" w:hanging="360"/>
      </w:pPr>
      <w:rPr>
        <w:rFonts w:ascii="Wingdings" w:hAnsi="Wingdings" w:hint="default"/>
      </w:rPr>
    </w:lvl>
    <w:lvl w:ilvl="6" w:tplc="040C0001" w:tentative="1">
      <w:start w:val="1"/>
      <w:numFmt w:val="bullet"/>
      <w:lvlText w:val=""/>
      <w:lvlJc w:val="left"/>
      <w:pPr>
        <w:ind w:left="4955" w:hanging="360"/>
      </w:pPr>
      <w:rPr>
        <w:rFonts w:ascii="Symbol" w:hAnsi="Symbol" w:hint="default"/>
      </w:rPr>
    </w:lvl>
    <w:lvl w:ilvl="7" w:tplc="040C0003" w:tentative="1">
      <w:start w:val="1"/>
      <w:numFmt w:val="bullet"/>
      <w:lvlText w:val="o"/>
      <w:lvlJc w:val="left"/>
      <w:pPr>
        <w:ind w:left="5675" w:hanging="360"/>
      </w:pPr>
      <w:rPr>
        <w:rFonts w:ascii="Courier New" w:hAnsi="Courier New" w:cs="Courier New" w:hint="default"/>
      </w:rPr>
    </w:lvl>
    <w:lvl w:ilvl="8" w:tplc="040C0005" w:tentative="1">
      <w:start w:val="1"/>
      <w:numFmt w:val="bullet"/>
      <w:lvlText w:val=""/>
      <w:lvlJc w:val="left"/>
      <w:pPr>
        <w:ind w:left="6395" w:hanging="360"/>
      </w:pPr>
      <w:rPr>
        <w:rFonts w:ascii="Wingdings" w:hAnsi="Wingdings" w:hint="default"/>
      </w:rPr>
    </w:lvl>
  </w:abstractNum>
  <w:abstractNum w:abstractNumId="1" w15:restartNumberingAfterBreak="0">
    <w:nsid w:val="1475018D"/>
    <w:multiLevelType w:val="hybridMultilevel"/>
    <w:tmpl w:val="124C4612"/>
    <w:lvl w:ilvl="0" w:tplc="89645AAE">
      <w:start w:val="1"/>
      <w:numFmt w:val="decimal"/>
      <w:lvlText w:val="%1."/>
      <w:lvlJc w:val="left"/>
      <w:pPr>
        <w:ind w:left="360" w:hanging="360"/>
      </w:pPr>
      <w:rPr>
        <w:rFonts w:hint="default"/>
        <w:color w:val="1F497D" w:themeColor="text2"/>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30097A"/>
    <w:multiLevelType w:val="hybridMultilevel"/>
    <w:tmpl w:val="E67E0F46"/>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0646D3"/>
    <w:multiLevelType w:val="hybridMultilevel"/>
    <w:tmpl w:val="86946A1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66B6"/>
    <w:multiLevelType w:val="hybridMultilevel"/>
    <w:tmpl w:val="96BC185E"/>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D622246"/>
    <w:multiLevelType w:val="hybridMultilevel"/>
    <w:tmpl w:val="4FE21C48"/>
    <w:lvl w:ilvl="0" w:tplc="E752EA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90DD3"/>
    <w:multiLevelType w:val="hybridMultilevel"/>
    <w:tmpl w:val="2B12DA2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15:restartNumberingAfterBreak="0">
    <w:nsid w:val="5AC9298E"/>
    <w:multiLevelType w:val="hybridMultilevel"/>
    <w:tmpl w:val="F254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670009">
    <w:abstractNumId w:val="8"/>
  </w:num>
  <w:num w:numId="2" w16cid:durableId="820537945">
    <w:abstractNumId w:val="14"/>
  </w:num>
  <w:num w:numId="3" w16cid:durableId="499348012">
    <w:abstractNumId w:val="2"/>
  </w:num>
  <w:num w:numId="4" w16cid:durableId="1096633350">
    <w:abstractNumId w:val="11"/>
  </w:num>
  <w:num w:numId="5" w16cid:durableId="438573683">
    <w:abstractNumId w:val="6"/>
  </w:num>
  <w:num w:numId="6" w16cid:durableId="2049212213">
    <w:abstractNumId w:val="3"/>
  </w:num>
  <w:num w:numId="7" w16cid:durableId="2037539694">
    <w:abstractNumId w:val="15"/>
  </w:num>
  <w:num w:numId="8" w16cid:durableId="1874996476">
    <w:abstractNumId w:val="7"/>
  </w:num>
  <w:num w:numId="9" w16cid:durableId="1499341436">
    <w:abstractNumId w:val="19"/>
  </w:num>
  <w:num w:numId="10" w16cid:durableId="40053704">
    <w:abstractNumId w:val="20"/>
  </w:num>
  <w:num w:numId="11" w16cid:durableId="1251616668">
    <w:abstractNumId w:val="10"/>
  </w:num>
  <w:num w:numId="12" w16cid:durableId="1361590045">
    <w:abstractNumId w:val="0"/>
  </w:num>
  <w:num w:numId="13" w16cid:durableId="1076365282">
    <w:abstractNumId w:val="16"/>
  </w:num>
  <w:num w:numId="14" w16cid:durableId="1722705141">
    <w:abstractNumId w:val="5"/>
  </w:num>
  <w:num w:numId="15" w16cid:durableId="519048050">
    <w:abstractNumId w:val="17"/>
  </w:num>
  <w:num w:numId="16" w16cid:durableId="1532305195">
    <w:abstractNumId w:val="18"/>
  </w:num>
  <w:num w:numId="17" w16cid:durableId="1032918598">
    <w:abstractNumId w:val="9"/>
  </w:num>
  <w:num w:numId="18" w16cid:durableId="64389484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8912729">
    <w:abstractNumId w:val="5"/>
  </w:num>
  <w:num w:numId="20" w16cid:durableId="1251233984">
    <w:abstractNumId w:val="0"/>
  </w:num>
  <w:num w:numId="21" w16cid:durableId="380594740">
    <w:abstractNumId w:val="4"/>
  </w:num>
  <w:num w:numId="22" w16cid:durableId="505511218">
    <w:abstractNumId w:val="0"/>
  </w:num>
  <w:num w:numId="23" w16cid:durableId="2011371352">
    <w:abstractNumId w:val="0"/>
  </w:num>
  <w:num w:numId="24" w16cid:durableId="432169611">
    <w:abstractNumId w:val="0"/>
  </w:num>
  <w:num w:numId="25" w16cid:durableId="183524035">
    <w:abstractNumId w:val="13"/>
  </w:num>
  <w:num w:numId="26" w16cid:durableId="1720861627">
    <w:abstractNumId w:val="1"/>
  </w:num>
  <w:num w:numId="27" w16cid:durableId="17685764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469B"/>
    <w:rsid w:val="0001727D"/>
    <w:rsid w:val="00023BCF"/>
    <w:rsid w:val="000318CA"/>
    <w:rsid w:val="00032660"/>
    <w:rsid w:val="00036C03"/>
    <w:rsid w:val="000423AA"/>
    <w:rsid w:val="0004401D"/>
    <w:rsid w:val="0006006A"/>
    <w:rsid w:val="000B534A"/>
    <w:rsid w:val="000C7A23"/>
    <w:rsid w:val="000E1396"/>
    <w:rsid w:val="000E3EF7"/>
    <w:rsid w:val="000F4D32"/>
    <w:rsid w:val="00104BDE"/>
    <w:rsid w:val="00110706"/>
    <w:rsid w:val="00117427"/>
    <w:rsid w:val="00121C35"/>
    <w:rsid w:val="001226EA"/>
    <w:rsid w:val="001257A6"/>
    <w:rsid w:val="0013307F"/>
    <w:rsid w:val="00136DDD"/>
    <w:rsid w:val="00140EEC"/>
    <w:rsid w:val="00144E5D"/>
    <w:rsid w:val="001471DA"/>
    <w:rsid w:val="00152FF7"/>
    <w:rsid w:val="00153549"/>
    <w:rsid w:val="00157F95"/>
    <w:rsid w:val="001626E5"/>
    <w:rsid w:val="001639D9"/>
    <w:rsid w:val="001665A1"/>
    <w:rsid w:val="00166711"/>
    <w:rsid w:val="00170DCB"/>
    <w:rsid w:val="0017544E"/>
    <w:rsid w:val="00177958"/>
    <w:rsid w:val="00181747"/>
    <w:rsid w:val="001946F5"/>
    <w:rsid w:val="00196063"/>
    <w:rsid w:val="0019730C"/>
    <w:rsid w:val="001A11A4"/>
    <w:rsid w:val="001A41A3"/>
    <w:rsid w:val="001C076B"/>
    <w:rsid w:val="001D0BB3"/>
    <w:rsid w:val="001F1F6A"/>
    <w:rsid w:val="0020625A"/>
    <w:rsid w:val="002105DF"/>
    <w:rsid w:val="00225679"/>
    <w:rsid w:val="00230717"/>
    <w:rsid w:val="00234DAE"/>
    <w:rsid w:val="002533A4"/>
    <w:rsid w:val="0026446F"/>
    <w:rsid w:val="00290F6F"/>
    <w:rsid w:val="002918DF"/>
    <w:rsid w:val="00293E5D"/>
    <w:rsid w:val="002A484B"/>
    <w:rsid w:val="002B07C4"/>
    <w:rsid w:val="002B1DC6"/>
    <w:rsid w:val="002B7A5C"/>
    <w:rsid w:val="002D25BA"/>
    <w:rsid w:val="002E329F"/>
    <w:rsid w:val="002F46E0"/>
    <w:rsid w:val="002F5CBC"/>
    <w:rsid w:val="00307A0F"/>
    <w:rsid w:val="003144D4"/>
    <w:rsid w:val="00331B40"/>
    <w:rsid w:val="00340760"/>
    <w:rsid w:val="00340A30"/>
    <w:rsid w:val="00342951"/>
    <w:rsid w:val="0034396A"/>
    <w:rsid w:val="00366A73"/>
    <w:rsid w:val="00375B42"/>
    <w:rsid w:val="00393348"/>
    <w:rsid w:val="003A23C0"/>
    <w:rsid w:val="003A606D"/>
    <w:rsid w:val="003B4E25"/>
    <w:rsid w:val="003B608E"/>
    <w:rsid w:val="003D05DE"/>
    <w:rsid w:val="003D7429"/>
    <w:rsid w:val="003E3A13"/>
    <w:rsid w:val="003F44DA"/>
    <w:rsid w:val="004105F8"/>
    <w:rsid w:val="0042209E"/>
    <w:rsid w:val="004227A8"/>
    <w:rsid w:val="004238D8"/>
    <w:rsid w:val="00424476"/>
    <w:rsid w:val="00440BE5"/>
    <w:rsid w:val="00455166"/>
    <w:rsid w:val="004566D3"/>
    <w:rsid w:val="004619C5"/>
    <w:rsid w:val="004642A8"/>
    <w:rsid w:val="004873FB"/>
    <w:rsid w:val="004906A2"/>
    <w:rsid w:val="00491EC4"/>
    <w:rsid w:val="004A1283"/>
    <w:rsid w:val="004B4132"/>
    <w:rsid w:val="004B6AF5"/>
    <w:rsid w:val="004C2A6D"/>
    <w:rsid w:val="004C6DB6"/>
    <w:rsid w:val="004C6E5A"/>
    <w:rsid w:val="004D170A"/>
    <w:rsid w:val="004D568C"/>
    <w:rsid w:val="004D6AAA"/>
    <w:rsid w:val="004F59CC"/>
    <w:rsid w:val="005036F7"/>
    <w:rsid w:val="005060E7"/>
    <w:rsid w:val="00514E56"/>
    <w:rsid w:val="00520545"/>
    <w:rsid w:val="005223DD"/>
    <w:rsid w:val="005573EB"/>
    <w:rsid w:val="00577C44"/>
    <w:rsid w:val="005B0AF4"/>
    <w:rsid w:val="005C7916"/>
    <w:rsid w:val="005D30C9"/>
    <w:rsid w:val="005D53BC"/>
    <w:rsid w:val="005E3B92"/>
    <w:rsid w:val="005E5B63"/>
    <w:rsid w:val="005F3042"/>
    <w:rsid w:val="005F46F0"/>
    <w:rsid w:val="005F799E"/>
    <w:rsid w:val="00605493"/>
    <w:rsid w:val="00613392"/>
    <w:rsid w:val="00616B0B"/>
    <w:rsid w:val="00625C73"/>
    <w:rsid w:val="006269C5"/>
    <w:rsid w:val="00632772"/>
    <w:rsid w:val="00634237"/>
    <w:rsid w:val="00644F70"/>
    <w:rsid w:val="00646B79"/>
    <w:rsid w:val="00656519"/>
    <w:rsid w:val="00657F1A"/>
    <w:rsid w:val="00660CA1"/>
    <w:rsid w:val="00664EF1"/>
    <w:rsid w:val="00674674"/>
    <w:rsid w:val="00675990"/>
    <w:rsid w:val="006802C0"/>
    <w:rsid w:val="00685073"/>
    <w:rsid w:val="00685D87"/>
    <w:rsid w:val="006B46E3"/>
    <w:rsid w:val="006C3A83"/>
    <w:rsid w:val="006C635A"/>
    <w:rsid w:val="006E0B09"/>
    <w:rsid w:val="006E348E"/>
    <w:rsid w:val="006E60E7"/>
    <w:rsid w:val="006F4848"/>
    <w:rsid w:val="006F48E3"/>
    <w:rsid w:val="006F4B92"/>
    <w:rsid w:val="00707820"/>
    <w:rsid w:val="00723EAD"/>
    <w:rsid w:val="0072691F"/>
    <w:rsid w:val="00742882"/>
    <w:rsid w:val="00745A24"/>
    <w:rsid w:val="00755667"/>
    <w:rsid w:val="00767B33"/>
    <w:rsid w:val="00771E98"/>
    <w:rsid w:val="00795243"/>
    <w:rsid w:val="007A582A"/>
    <w:rsid w:val="007B478F"/>
    <w:rsid w:val="007C4606"/>
    <w:rsid w:val="007E4EA4"/>
    <w:rsid w:val="007F602D"/>
    <w:rsid w:val="0080025F"/>
    <w:rsid w:val="00822DF8"/>
    <w:rsid w:val="00823DD2"/>
    <w:rsid w:val="0083078B"/>
    <w:rsid w:val="00857B73"/>
    <w:rsid w:val="00862EBC"/>
    <w:rsid w:val="0086742D"/>
    <w:rsid w:val="008A2078"/>
    <w:rsid w:val="008A2DC4"/>
    <w:rsid w:val="008B64DE"/>
    <w:rsid w:val="008C5322"/>
    <w:rsid w:val="008C5660"/>
    <w:rsid w:val="008D1A2B"/>
    <w:rsid w:val="008D50D0"/>
    <w:rsid w:val="008D6866"/>
    <w:rsid w:val="008E26B0"/>
    <w:rsid w:val="008E7F5D"/>
    <w:rsid w:val="008F293B"/>
    <w:rsid w:val="008F5738"/>
    <w:rsid w:val="0090240F"/>
    <w:rsid w:val="00925426"/>
    <w:rsid w:val="0093181A"/>
    <w:rsid w:val="00933471"/>
    <w:rsid w:val="009505AE"/>
    <w:rsid w:val="00951197"/>
    <w:rsid w:val="0095655C"/>
    <w:rsid w:val="00964A06"/>
    <w:rsid w:val="00971F48"/>
    <w:rsid w:val="009726D6"/>
    <w:rsid w:val="009817E0"/>
    <w:rsid w:val="00983B5A"/>
    <w:rsid w:val="00986C4D"/>
    <w:rsid w:val="00997BA1"/>
    <w:rsid w:val="009A1601"/>
    <w:rsid w:val="009A7184"/>
    <w:rsid w:val="009D3B87"/>
    <w:rsid w:val="009E2D31"/>
    <w:rsid w:val="009E4341"/>
    <w:rsid w:val="00A03774"/>
    <w:rsid w:val="00A101AC"/>
    <w:rsid w:val="00A13E65"/>
    <w:rsid w:val="00A15387"/>
    <w:rsid w:val="00A23BBE"/>
    <w:rsid w:val="00A37146"/>
    <w:rsid w:val="00A379FB"/>
    <w:rsid w:val="00A42962"/>
    <w:rsid w:val="00A44182"/>
    <w:rsid w:val="00A44EA2"/>
    <w:rsid w:val="00A472F5"/>
    <w:rsid w:val="00A4791B"/>
    <w:rsid w:val="00A60B9B"/>
    <w:rsid w:val="00A61898"/>
    <w:rsid w:val="00A62CF2"/>
    <w:rsid w:val="00A63731"/>
    <w:rsid w:val="00A94E6A"/>
    <w:rsid w:val="00AA346D"/>
    <w:rsid w:val="00AA5D4B"/>
    <w:rsid w:val="00AC3BCE"/>
    <w:rsid w:val="00AC3E7B"/>
    <w:rsid w:val="00AD1DEC"/>
    <w:rsid w:val="00AF2C2E"/>
    <w:rsid w:val="00B0311C"/>
    <w:rsid w:val="00B130A6"/>
    <w:rsid w:val="00B131F6"/>
    <w:rsid w:val="00B21802"/>
    <w:rsid w:val="00B222D7"/>
    <w:rsid w:val="00B23355"/>
    <w:rsid w:val="00B278BE"/>
    <w:rsid w:val="00B4681F"/>
    <w:rsid w:val="00B55F53"/>
    <w:rsid w:val="00B56F35"/>
    <w:rsid w:val="00B56FE0"/>
    <w:rsid w:val="00B60A98"/>
    <w:rsid w:val="00B70457"/>
    <w:rsid w:val="00B8641C"/>
    <w:rsid w:val="00B878EE"/>
    <w:rsid w:val="00BB1808"/>
    <w:rsid w:val="00BD026A"/>
    <w:rsid w:val="00BD2BAD"/>
    <w:rsid w:val="00BD411A"/>
    <w:rsid w:val="00BD53E9"/>
    <w:rsid w:val="00BE4280"/>
    <w:rsid w:val="00BF26CC"/>
    <w:rsid w:val="00C04A7C"/>
    <w:rsid w:val="00C2027E"/>
    <w:rsid w:val="00C27384"/>
    <w:rsid w:val="00C36AD0"/>
    <w:rsid w:val="00C443B9"/>
    <w:rsid w:val="00C4467B"/>
    <w:rsid w:val="00C4695A"/>
    <w:rsid w:val="00C51713"/>
    <w:rsid w:val="00C61430"/>
    <w:rsid w:val="00C71D6C"/>
    <w:rsid w:val="00C94F25"/>
    <w:rsid w:val="00CB727F"/>
    <w:rsid w:val="00CB7F69"/>
    <w:rsid w:val="00CC0297"/>
    <w:rsid w:val="00CC2929"/>
    <w:rsid w:val="00CC7E44"/>
    <w:rsid w:val="00CE227D"/>
    <w:rsid w:val="00CE669D"/>
    <w:rsid w:val="00D01F0B"/>
    <w:rsid w:val="00D02EF5"/>
    <w:rsid w:val="00D14436"/>
    <w:rsid w:val="00D20468"/>
    <w:rsid w:val="00D2561E"/>
    <w:rsid w:val="00D315B8"/>
    <w:rsid w:val="00D5478C"/>
    <w:rsid w:val="00D63AAF"/>
    <w:rsid w:val="00D949FB"/>
    <w:rsid w:val="00DE5E49"/>
    <w:rsid w:val="00DF15F7"/>
    <w:rsid w:val="00DF1C19"/>
    <w:rsid w:val="00E31AA0"/>
    <w:rsid w:val="00E33C91"/>
    <w:rsid w:val="00E35ECC"/>
    <w:rsid w:val="00E43657"/>
    <w:rsid w:val="00E46E4B"/>
    <w:rsid w:val="00E52B62"/>
    <w:rsid w:val="00E52E75"/>
    <w:rsid w:val="00E55E10"/>
    <w:rsid w:val="00E57078"/>
    <w:rsid w:val="00E62052"/>
    <w:rsid w:val="00E6423A"/>
    <w:rsid w:val="00E70392"/>
    <w:rsid w:val="00E72166"/>
    <w:rsid w:val="00E84936"/>
    <w:rsid w:val="00E86121"/>
    <w:rsid w:val="00E9163F"/>
    <w:rsid w:val="00EA187D"/>
    <w:rsid w:val="00EA1EB5"/>
    <w:rsid w:val="00EA3990"/>
    <w:rsid w:val="00EA4448"/>
    <w:rsid w:val="00EA4856"/>
    <w:rsid w:val="00EA4C16"/>
    <w:rsid w:val="00EA5822"/>
    <w:rsid w:val="00EB1D55"/>
    <w:rsid w:val="00EC2E2C"/>
    <w:rsid w:val="00EC6A5E"/>
    <w:rsid w:val="00ED7110"/>
    <w:rsid w:val="00EF6ED7"/>
    <w:rsid w:val="00F1407F"/>
    <w:rsid w:val="00F22F07"/>
    <w:rsid w:val="00F24EF6"/>
    <w:rsid w:val="00F30C6A"/>
    <w:rsid w:val="00F479E6"/>
    <w:rsid w:val="00F72284"/>
    <w:rsid w:val="00F94AE1"/>
    <w:rsid w:val="00FB2FA0"/>
    <w:rsid w:val="00FD2E84"/>
    <w:rsid w:val="00FE1266"/>
    <w:rsid w:val="00FF2A0F"/>
    <w:rsid w:val="00FF4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95B1"/>
  <w15:docId w15:val="{040E6D9B-932C-4CBB-ABAF-6B76368E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068917435">
      <w:bodyDiv w:val="1"/>
      <w:marLeft w:val="0"/>
      <w:marRight w:val="0"/>
      <w:marTop w:val="0"/>
      <w:marBottom w:val="0"/>
      <w:divBdr>
        <w:top w:val="none" w:sz="0" w:space="0" w:color="auto"/>
        <w:left w:val="none" w:sz="0" w:space="0" w:color="auto"/>
        <w:bottom w:val="none" w:sz="0" w:space="0" w:color="auto"/>
        <w:right w:val="none" w:sz="0" w:space="0" w:color="auto"/>
      </w:divBdr>
    </w:div>
    <w:div w:id="1081872320">
      <w:bodyDiv w:val="1"/>
      <w:marLeft w:val="0"/>
      <w:marRight w:val="0"/>
      <w:marTop w:val="0"/>
      <w:marBottom w:val="0"/>
      <w:divBdr>
        <w:top w:val="none" w:sz="0" w:space="0" w:color="auto"/>
        <w:left w:val="none" w:sz="0" w:space="0" w:color="auto"/>
        <w:bottom w:val="none" w:sz="0" w:space="0" w:color="auto"/>
        <w:right w:val="none" w:sz="0" w:space="0" w:color="auto"/>
      </w:divBdr>
    </w:div>
    <w:div w:id="1502817622">
      <w:bodyDiv w:val="1"/>
      <w:marLeft w:val="0"/>
      <w:marRight w:val="0"/>
      <w:marTop w:val="0"/>
      <w:marBottom w:val="0"/>
      <w:divBdr>
        <w:top w:val="none" w:sz="0" w:space="0" w:color="auto"/>
        <w:left w:val="none" w:sz="0" w:space="0" w:color="auto"/>
        <w:bottom w:val="none" w:sz="0" w:space="0" w:color="auto"/>
        <w:right w:val="none" w:sz="0" w:space="0" w:color="auto"/>
      </w:divBdr>
    </w:div>
    <w:div w:id="1545602431">
      <w:bodyDiv w:val="1"/>
      <w:marLeft w:val="0"/>
      <w:marRight w:val="0"/>
      <w:marTop w:val="0"/>
      <w:marBottom w:val="0"/>
      <w:divBdr>
        <w:top w:val="none" w:sz="0" w:space="0" w:color="auto"/>
        <w:left w:val="none" w:sz="0" w:space="0" w:color="auto"/>
        <w:bottom w:val="none" w:sz="0" w:space="0" w:color="auto"/>
        <w:right w:val="none" w:sz="0" w:space="0" w:color="auto"/>
      </w:divBdr>
    </w:div>
    <w:div w:id="1809057020">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E11951-C502-4FB3-840D-ADAF87A9EEC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62F1D4B-BFA7-41CA-A897-38D90B07C0DB}">
      <dgm:prSet phldrT="[Text]" custT="1"/>
      <dgm:spPr/>
      <dgm:t>
        <a:bodyPr/>
        <a:lstStyle/>
        <a:p>
          <a:r>
            <a:rPr lang="en-GB" sz="800"/>
            <a:t>Director FP&amp;A UK&amp;I</a:t>
          </a:r>
        </a:p>
      </dgm:t>
    </dgm:pt>
    <dgm:pt modelId="{138B85B7-4D63-4BEE-B8E7-4700F749B000}" type="parTrans" cxnId="{29067BE4-F680-4AB0-A4FC-F5C17F45BD20}">
      <dgm:prSet/>
      <dgm:spPr/>
      <dgm:t>
        <a:bodyPr/>
        <a:lstStyle/>
        <a:p>
          <a:endParaRPr lang="en-GB" sz="1400"/>
        </a:p>
      </dgm:t>
    </dgm:pt>
    <dgm:pt modelId="{BA79E3A4-8437-4C91-9CDF-5BB507885738}" type="sibTrans" cxnId="{29067BE4-F680-4AB0-A4FC-F5C17F45BD20}">
      <dgm:prSet/>
      <dgm:spPr/>
      <dgm:t>
        <a:bodyPr/>
        <a:lstStyle/>
        <a:p>
          <a:endParaRPr lang="en-GB" sz="1400"/>
        </a:p>
      </dgm:t>
    </dgm:pt>
    <dgm:pt modelId="{8B7E97C5-FE0B-49D8-9D30-D01E1B35E371}">
      <dgm:prSet custT="1"/>
      <dgm:spPr/>
      <dgm:t>
        <a:bodyPr/>
        <a:lstStyle/>
        <a:p>
          <a:r>
            <a:rPr lang="en-GB" sz="800"/>
            <a:t>FP&amp;A Manager</a:t>
          </a:r>
        </a:p>
      </dgm:t>
    </dgm:pt>
    <dgm:pt modelId="{555390F8-B195-4DC7-AEC0-38AF8476AE55}" type="parTrans" cxnId="{FB031AD7-D7C0-47A0-9AF6-A2F903CF5079}">
      <dgm:prSet/>
      <dgm:spPr/>
    </dgm:pt>
    <dgm:pt modelId="{5415EEA5-9E1F-484F-AE7F-44164E47A43B}" type="sibTrans" cxnId="{FB031AD7-D7C0-47A0-9AF6-A2F903CF5079}">
      <dgm:prSet/>
      <dgm:spPr/>
    </dgm:pt>
    <dgm:pt modelId="{17843CD7-E03B-4FAE-BE3E-E6FB16F99185}">
      <dgm:prSet phldrT="[Text]" custT="1"/>
      <dgm:spPr/>
      <dgm:t>
        <a:bodyPr/>
        <a:lstStyle/>
        <a:p>
          <a:r>
            <a:rPr lang="en-GB" sz="800"/>
            <a:t>Head of Financial Analysis</a:t>
          </a:r>
        </a:p>
      </dgm:t>
    </dgm:pt>
    <dgm:pt modelId="{B3392E36-E91E-4F62-AD40-E10859339BC1}" type="parTrans" cxnId="{A9D6362C-7DBF-4E9E-94BF-B4D71F9E7898}">
      <dgm:prSet/>
      <dgm:spPr/>
    </dgm:pt>
    <dgm:pt modelId="{0BF9F248-C51D-4819-ABB1-7EF860A7FD9D}" type="sibTrans" cxnId="{A9D6362C-7DBF-4E9E-94BF-B4D71F9E7898}">
      <dgm:prSet/>
      <dgm:spPr/>
    </dgm:pt>
    <dgm:pt modelId="{566CB837-19E2-4D17-A7A2-E9E31CD893BD}" type="pres">
      <dgm:prSet presAssocID="{E4E11951-C502-4FB3-840D-ADAF87A9EEC4}" presName="hierChild1" presStyleCnt="0">
        <dgm:presLayoutVars>
          <dgm:orgChart val="1"/>
          <dgm:chPref val="1"/>
          <dgm:dir/>
          <dgm:animOne val="branch"/>
          <dgm:animLvl val="lvl"/>
          <dgm:resizeHandles/>
        </dgm:presLayoutVars>
      </dgm:prSet>
      <dgm:spPr/>
    </dgm:pt>
    <dgm:pt modelId="{B363A1B9-60EC-44EB-8A26-E280D18FF565}" type="pres">
      <dgm:prSet presAssocID="{C62F1D4B-BFA7-41CA-A897-38D90B07C0DB}" presName="hierRoot1" presStyleCnt="0">
        <dgm:presLayoutVars>
          <dgm:hierBranch val="init"/>
        </dgm:presLayoutVars>
      </dgm:prSet>
      <dgm:spPr/>
    </dgm:pt>
    <dgm:pt modelId="{E4091779-5EA4-4C54-A2FC-64A291F34452}" type="pres">
      <dgm:prSet presAssocID="{C62F1D4B-BFA7-41CA-A897-38D90B07C0DB}" presName="rootComposite1" presStyleCnt="0"/>
      <dgm:spPr/>
    </dgm:pt>
    <dgm:pt modelId="{F1A61E44-C1C4-4251-9555-407AC04CD974}" type="pres">
      <dgm:prSet presAssocID="{C62F1D4B-BFA7-41CA-A897-38D90B07C0DB}" presName="rootText1" presStyleLbl="node0" presStyleIdx="0" presStyleCnt="1" custScaleX="98406">
        <dgm:presLayoutVars>
          <dgm:chPref val="3"/>
        </dgm:presLayoutVars>
      </dgm:prSet>
      <dgm:spPr/>
    </dgm:pt>
    <dgm:pt modelId="{30B0B31D-8960-4942-B931-84EEA69CCE20}" type="pres">
      <dgm:prSet presAssocID="{C62F1D4B-BFA7-41CA-A897-38D90B07C0DB}" presName="rootConnector1" presStyleLbl="node1" presStyleIdx="0" presStyleCnt="0"/>
      <dgm:spPr/>
    </dgm:pt>
    <dgm:pt modelId="{9DAB567D-818B-480D-B18F-232BDE228639}" type="pres">
      <dgm:prSet presAssocID="{C62F1D4B-BFA7-41CA-A897-38D90B07C0DB}" presName="hierChild2" presStyleCnt="0"/>
      <dgm:spPr/>
    </dgm:pt>
    <dgm:pt modelId="{36156A6A-A580-4153-B57A-70E9EC9B796E}" type="pres">
      <dgm:prSet presAssocID="{B3392E36-E91E-4F62-AD40-E10859339BC1}" presName="Name37" presStyleLbl="parChTrans1D2" presStyleIdx="0" presStyleCnt="2"/>
      <dgm:spPr/>
    </dgm:pt>
    <dgm:pt modelId="{0BADC2CD-CED7-4F6B-87D2-A6C749C5A73F}" type="pres">
      <dgm:prSet presAssocID="{17843CD7-E03B-4FAE-BE3E-E6FB16F99185}" presName="hierRoot2" presStyleCnt="0">
        <dgm:presLayoutVars>
          <dgm:hierBranch val="init"/>
        </dgm:presLayoutVars>
      </dgm:prSet>
      <dgm:spPr/>
    </dgm:pt>
    <dgm:pt modelId="{CF1EF410-DC8F-4536-B5DB-1734ECB264AA}" type="pres">
      <dgm:prSet presAssocID="{17843CD7-E03B-4FAE-BE3E-E6FB16F99185}" presName="rootComposite" presStyleCnt="0"/>
      <dgm:spPr/>
    </dgm:pt>
    <dgm:pt modelId="{2C088F46-D291-4DD5-80DB-43BCF2078E5F}" type="pres">
      <dgm:prSet presAssocID="{17843CD7-E03B-4FAE-BE3E-E6FB16F99185}" presName="rootText" presStyleLbl="node2" presStyleIdx="0" presStyleCnt="2">
        <dgm:presLayoutVars>
          <dgm:chPref val="3"/>
        </dgm:presLayoutVars>
      </dgm:prSet>
      <dgm:spPr/>
    </dgm:pt>
    <dgm:pt modelId="{07722B14-E6B8-4C40-ADAA-102CCB848ACE}" type="pres">
      <dgm:prSet presAssocID="{17843CD7-E03B-4FAE-BE3E-E6FB16F99185}" presName="rootConnector" presStyleLbl="node2" presStyleIdx="0" presStyleCnt="2"/>
      <dgm:spPr/>
    </dgm:pt>
    <dgm:pt modelId="{5A9CBA71-3174-43F1-8FBE-EB0B4A41F26B}" type="pres">
      <dgm:prSet presAssocID="{17843CD7-E03B-4FAE-BE3E-E6FB16F99185}" presName="hierChild4" presStyleCnt="0"/>
      <dgm:spPr/>
    </dgm:pt>
    <dgm:pt modelId="{47CC4BAF-32AF-456A-AE33-C228F081E766}" type="pres">
      <dgm:prSet presAssocID="{17843CD7-E03B-4FAE-BE3E-E6FB16F99185}" presName="hierChild5" presStyleCnt="0"/>
      <dgm:spPr/>
    </dgm:pt>
    <dgm:pt modelId="{3E569172-06B9-4F9A-8FC5-4DBD62A0A8DE}" type="pres">
      <dgm:prSet presAssocID="{555390F8-B195-4DC7-AEC0-38AF8476AE55}" presName="Name37" presStyleLbl="parChTrans1D2" presStyleIdx="1" presStyleCnt="2"/>
      <dgm:spPr/>
    </dgm:pt>
    <dgm:pt modelId="{B57A9912-E155-41E0-B5B2-0A1E718D567C}" type="pres">
      <dgm:prSet presAssocID="{8B7E97C5-FE0B-49D8-9D30-D01E1B35E371}" presName="hierRoot2" presStyleCnt="0">
        <dgm:presLayoutVars>
          <dgm:hierBranch val="init"/>
        </dgm:presLayoutVars>
      </dgm:prSet>
      <dgm:spPr/>
    </dgm:pt>
    <dgm:pt modelId="{7297F746-5A91-44FF-A6D9-5D16FB246D07}" type="pres">
      <dgm:prSet presAssocID="{8B7E97C5-FE0B-49D8-9D30-D01E1B35E371}" presName="rootComposite" presStyleCnt="0"/>
      <dgm:spPr/>
    </dgm:pt>
    <dgm:pt modelId="{46EA4DAF-8058-4FAE-B143-FBD821319166}" type="pres">
      <dgm:prSet presAssocID="{8B7E97C5-FE0B-49D8-9D30-D01E1B35E371}" presName="rootText" presStyleLbl="node2" presStyleIdx="1" presStyleCnt="2">
        <dgm:presLayoutVars>
          <dgm:chPref val="3"/>
        </dgm:presLayoutVars>
      </dgm:prSet>
      <dgm:spPr/>
    </dgm:pt>
    <dgm:pt modelId="{25466EA4-F2FE-4DAA-A0C1-356927704EE3}" type="pres">
      <dgm:prSet presAssocID="{8B7E97C5-FE0B-49D8-9D30-D01E1B35E371}" presName="rootConnector" presStyleLbl="node2" presStyleIdx="1" presStyleCnt="2"/>
      <dgm:spPr/>
    </dgm:pt>
    <dgm:pt modelId="{2FFA51AE-3259-4EA2-BF2E-79FEF492DC5B}" type="pres">
      <dgm:prSet presAssocID="{8B7E97C5-FE0B-49D8-9D30-D01E1B35E371}" presName="hierChild4" presStyleCnt="0"/>
      <dgm:spPr/>
    </dgm:pt>
    <dgm:pt modelId="{2CC7218E-5201-4F72-AAF9-64F36EE5BF50}" type="pres">
      <dgm:prSet presAssocID="{8B7E97C5-FE0B-49D8-9D30-D01E1B35E371}" presName="hierChild5" presStyleCnt="0"/>
      <dgm:spPr/>
    </dgm:pt>
    <dgm:pt modelId="{1E509BA8-A77D-4021-9797-DC70A35A3322}" type="pres">
      <dgm:prSet presAssocID="{C62F1D4B-BFA7-41CA-A897-38D90B07C0DB}" presName="hierChild3" presStyleCnt="0"/>
      <dgm:spPr/>
    </dgm:pt>
  </dgm:ptLst>
  <dgm:cxnLst>
    <dgm:cxn modelId="{A9D6362C-7DBF-4E9E-94BF-B4D71F9E7898}" srcId="{C62F1D4B-BFA7-41CA-A897-38D90B07C0DB}" destId="{17843CD7-E03B-4FAE-BE3E-E6FB16F99185}" srcOrd="0" destOrd="0" parTransId="{B3392E36-E91E-4F62-AD40-E10859339BC1}" sibTransId="{0BF9F248-C51D-4819-ABB1-7EF860A7FD9D}"/>
    <dgm:cxn modelId="{FCC8E231-513D-4191-AE40-81FD1A5AC2DA}" type="presOf" srcId="{8B7E97C5-FE0B-49D8-9D30-D01E1B35E371}" destId="{25466EA4-F2FE-4DAA-A0C1-356927704EE3}" srcOrd="1" destOrd="0" presId="urn:microsoft.com/office/officeart/2005/8/layout/orgChart1"/>
    <dgm:cxn modelId="{8917704C-E495-41BA-9E8D-76AFDAD4BEE5}" type="presOf" srcId="{C62F1D4B-BFA7-41CA-A897-38D90B07C0DB}" destId="{F1A61E44-C1C4-4251-9555-407AC04CD974}" srcOrd="0" destOrd="0" presId="urn:microsoft.com/office/officeart/2005/8/layout/orgChart1"/>
    <dgm:cxn modelId="{0C55F37B-3540-40D8-8394-4F2757FFDA8D}" type="presOf" srcId="{17843CD7-E03B-4FAE-BE3E-E6FB16F99185}" destId="{07722B14-E6B8-4C40-ADAA-102CCB848ACE}" srcOrd="1" destOrd="0" presId="urn:microsoft.com/office/officeart/2005/8/layout/orgChart1"/>
    <dgm:cxn modelId="{F5EBA788-6413-4370-AAE9-905EA66882FA}" type="presOf" srcId="{C62F1D4B-BFA7-41CA-A897-38D90B07C0DB}" destId="{30B0B31D-8960-4942-B931-84EEA69CCE20}" srcOrd="1" destOrd="0" presId="urn:microsoft.com/office/officeart/2005/8/layout/orgChart1"/>
    <dgm:cxn modelId="{B3512D8E-0B3A-4777-A8C4-F292CFCD0DB1}" type="presOf" srcId="{555390F8-B195-4DC7-AEC0-38AF8476AE55}" destId="{3E569172-06B9-4F9A-8FC5-4DBD62A0A8DE}" srcOrd="0" destOrd="0" presId="urn:microsoft.com/office/officeart/2005/8/layout/orgChart1"/>
    <dgm:cxn modelId="{CBFDED9B-C3F0-42BD-B28E-73C4E551639F}" type="presOf" srcId="{17843CD7-E03B-4FAE-BE3E-E6FB16F99185}" destId="{2C088F46-D291-4DD5-80DB-43BCF2078E5F}" srcOrd="0" destOrd="0" presId="urn:microsoft.com/office/officeart/2005/8/layout/orgChart1"/>
    <dgm:cxn modelId="{C9F6BFAD-3CD1-4869-B24B-BBACDA26A522}" type="presOf" srcId="{B3392E36-E91E-4F62-AD40-E10859339BC1}" destId="{36156A6A-A580-4153-B57A-70E9EC9B796E}" srcOrd="0" destOrd="0" presId="urn:microsoft.com/office/officeart/2005/8/layout/orgChart1"/>
    <dgm:cxn modelId="{938C38BC-E245-4466-9126-E079CDAE6EB7}" type="presOf" srcId="{E4E11951-C502-4FB3-840D-ADAF87A9EEC4}" destId="{566CB837-19E2-4D17-A7A2-E9E31CD893BD}" srcOrd="0" destOrd="0" presId="urn:microsoft.com/office/officeart/2005/8/layout/orgChart1"/>
    <dgm:cxn modelId="{FB031AD7-D7C0-47A0-9AF6-A2F903CF5079}" srcId="{C62F1D4B-BFA7-41CA-A897-38D90B07C0DB}" destId="{8B7E97C5-FE0B-49D8-9D30-D01E1B35E371}" srcOrd="1" destOrd="0" parTransId="{555390F8-B195-4DC7-AEC0-38AF8476AE55}" sibTransId="{5415EEA5-9E1F-484F-AE7F-44164E47A43B}"/>
    <dgm:cxn modelId="{29067BE4-F680-4AB0-A4FC-F5C17F45BD20}" srcId="{E4E11951-C502-4FB3-840D-ADAF87A9EEC4}" destId="{C62F1D4B-BFA7-41CA-A897-38D90B07C0DB}" srcOrd="0" destOrd="0" parTransId="{138B85B7-4D63-4BEE-B8E7-4700F749B000}" sibTransId="{BA79E3A4-8437-4C91-9CDF-5BB507885738}"/>
    <dgm:cxn modelId="{E619B6F9-EF7F-459B-9C9D-6AC4A0D0E4B0}" type="presOf" srcId="{8B7E97C5-FE0B-49D8-9D30-D01E1B35E371}" destId="{46EA4DAF-8058-4FAE-B143-FBD821319166}" srcOrd="0" destOrd="0" presId="urn:microsoft.com/office/officeart/2005/8/layout/orgChart1"/>
    <dgm:cxn modelId="{B42ABE62-099B-4D9E-8FCB-6B6E0EB90237}" type="presParOf" srcId="{566CB837-19E2-4D17-A7A2-E9E31CD893BD}" destId="{B363A1B9-60EC-44EB-8A26-E280D18FF565}" srcOrd="0" destOrd="0" presId="urn:microsoft.com/office/officeart/2005/8/layout/orgChart1"/>
    <dgm:cxn modelId="{2E2BE8F5-152B-4D09-AFE8-3093D8BE732B}" type="presParOf" srcId="{B363A1B9-60EC-44EB-8A26-E280D18FF565}" destId="{E4091779-5EA4-4C54-A2FC-64A291F34452}" srcOrd="0" destOrd="0" presId="urn:microsoft.com/office/officeart/2005/8/layout/orgChart1"/>
    <dgm:cxn modelId="{A9E7B8F7-91BC-4514-A520-A9A12691C8BF}" type="presParOf" srcId="{E4091779-5EA4-4C54-A2FC-64A291F34452}" destId="{F1A61E44-C1C4-4251-9555-407AC04CD974}" srcOrd="0" destOrd="0" presId="urn:microsoft.com/office/officeart/2005/8/layout/orgChart1"/>
    <dgm:cxn modelId="{C9FBEF2C-FDCB-412F-A861-99CD6454ADAE}" type="presParOf" srcId="{E4091779-5EA4-4C54-A2FC-64A291F34452}" destId="{30B0B31D-8960-4942-B931-84EEA69CCE20}" srcOrd="1" destOrd="0" presId="urn:microsoft.com/office/officeart/2005/8/layout/orgChart1"/>
    <dgm:cxn modelId="{06020B7D-8B56-4235-BAD7-296BD444F36C}" type="presParOf" srcId="{B363A1B9-60EC-44EB-8A26-E280D18FF565}" destId="{9DAB567D-818B-480D-B18F-232BDE228639}" srcOrd="1" destOrd="0" presId="urn:microsoft.com/office/officeart/2005/8/layout/orgChart1"/>
    <dgm:cxn modelId="{6871FC76-C375-4858-8397-1B62778C5BC3}" type="presParOf" srcId="{9DAB567D-818B-480D-B18F-232BDE228639}" destId="{36156A6A-A580-4153-B57A-70E9EC9B796E}" srcOrd="0" destOrd="0" presId="urn:microsoft.com/office/officeart/2005/8/layout/orgChart1"/>
    <dgm:cxn modelId="{B820644E-B7CA-45C3-A123-3EB77A76F94D}" type="presParOf" srcId="{9DAB567D-818B-480D-B18F-232BDE228639}" destId="{0BADC2CD-CED7-4F6B-87D2-A6C749C5A73F}" srcOrd="1" destOrd="0" presId="urn:microsoft.com/office/officeart/2005/8/layout/orgChart1"/>
    <dgm:cxn modelId="{BA9D5CC1-06FD-4173-BE29-3AFF8FB4F59B}" type="presParOf" srcId="{0BADC2CD-CED7-4F6B-87D2-A6C749C5A73F}" destId="{CF1EF410-DC8F-4536-B5DB-1734ECB264AA}" srcOrd="0" destOrd="0" presId="urn:microsoft.com/office/officeart/2005/8/layout/orgChart1"/>
    <dgm:cxn modelId="{A6CB6F97-658B-4317-8425-14D4006C13ED}" type="presParOf" srcId="{CF1EF410-DC8F-4536-B5DB-1734ECB264AA}" destId="{2C088F46-D291-4DD5-80DB-43BCF2078E5F}" srcOrd="0" destOrd="0" presId="urn:microsoft.com/office/officeart/2005/8/layout/orgChart1"/>
    <dgm:cxn modelId="{6A66C58A-5ACF-4C1E-A2BF-3B8568554991}" type="presParOf" srcId="{CF1EF410-DC8F-4536-B5DB-1734ECB264AA}" destId="{07722B14-E6B8-4C40-ADAA-102CCB848ACE}" srcOrd="1" destOrd="0" presId="urn:microsoft.com/office/officeart/2005/8/layout/orgChart1"/>
    <dgm:cxn modelId="{8EFAF490-32A3-4BC2-94F2-4D6BC218D018}" type="presParOf" srcId="{0BADC2CD-CED7-4F6B-87D2-A6C749C5A73F}" destId="{5A9CBA71-3174-43F1-8FBE-EB0B4A41F26B}" srcOrd="1" destOrd="0" presId="urn:microsoft.com/office/officeart/2005/8/layout/orgChart1"/>
    <dgm:cxn modelId="{540CCBCD-3AB8-41E8-B2B4-FFB13A3091DC}" type="presParOf" srcId="{0BADC2CD-CED7-4F6B-87D2-A6C749C5A73F}" destId="{47CC4BAF-32AF-456A-AE33-C228F081E766}" srcOrd="2" destOrd="0" presId="urn:microsoft.com/office/officeart/2005/8/layout/orgChart1"/>
    <dgm:cxn modelId="{54BFC7E1-5120-4C0D-B64A-A92FDF491F28}" type="presParOf" srcId="{9DAB567D-818B-480D-B18F-232BDE228639}" destId="{3E569172-06B9-4F9A-8FC5-4DBD62A0A8DE}" srcOrd="2" destOrd="0" presId="urn:microsoft.com/office/officeart/2005/8/layout/orgChart1"/>
    <dgm:cxn modelId="{C7514A6E-7E71-4FB6-9FDA-A7FADC252D7E}" type="presParOf" srcId="{9DAB567D-818B-480D-B18F-232BDE228639}" destId="{B57A9912-E155-41E0-B5B2-0A1E718D567C}" srcOrd="3" destOrd="0" presId="urn:microsoft.com/office/officeart/2005/8/layout/orgChart1"/>
    <dgm:cxn modelId="{7D541257-BDEA-4A15-A128-704D0DD2CAA8}" type="presParOf" srcId="{B57A9912-E155-41E0-B5B2-0A1E718D567C}" destId="{7297F746-5A91-44FF-A6D9-5D16FB246D07}" srcOrd="0" destOrd="0" presId="urn:microsoft.com/office/officeart/2005/8/layout/orgChart1"/>
    <dgm:cxn modelId="{FB42CAFC-CA33-45C1-9DDD-2AB7CDA1C463}" type="presParOf" srcId="{7297F746-5A91-44FF-A6D9-5D16FB246D07}" destId="{46EA4DAF-8058-4FAE-B143-FBD821319166}" srcOrd="0" destOrd="0" presId="urn:microsoft.com/office/officeart/2005/8/layout/orgChart1"/>
    <dgm:cxn modelId="{57CAB198-208B-4D60-9ABE-0EA2D75C4EF1}" type="presParOf" srcId="{7297F746-5A91-44FF-A6D9-5D16FB246D07}" destId="{25466EA4-F2FE-4DAA-A0C1-356927704EE3}" srcOrd="1" destOrd="0" presId="urn:microsoft.com/office/officeart/2005/8/layout/orgChart1"/>
    <dgm:cxn modelId="{9C7E8719-4E7B-4B90-9A1A-08FB37996466}" type="presParOf" srcId="{B57A9912-E155-41E0-B5B2-0A1E718D567C}" destId="{2FFA51AE-3259-4EA2-BF2E-79FEF492DC5B}" srcOrd="1" destOrd="0" presId="urn:microsoft.com/office/officeart/2005/8/layout/orgChart1"/>
    <dgm:cxn modelId="{2DBD85A3-6D45-45B6-A4C1-552698D3D434}" type="presParOf" srcId="{B57A9912-E155-41E0-B5B2-0A1E718D567C}" destId="{2CC7218E-5201-4F72-AAF9-64F36EE5BF50}" srcOrd="2" destOrd="0" presId="urn:microsoft.com/office/officeart/2005/8/layout/orgChart1"/>
    <dgm:cxn modelId="{B0458D5A-D008-43BB-AD58-17DE92038B36}" type="presParOf" srcId="{B363A1B9-60EC-44EB-8A26-E280D18FF565}" destId="{1E509BA8-A77D-4021-9797-DC70A35A3322}"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569172-06B9-4F9A-8FC5-4DBD62A0A8DE}">
      <dsp:nvSpPr>
        <dsp:cNvPr id="0" name=""/>
        <dsp:cNvSpPr/>
      </dsp:nvSpPr>
      <dsp:spPr>
        <a:xfrm>
          <a:off x="2615045" y="695692"/>
          <a:ext cx="841071" cy="291942"/>
        </a:xfrm>
        <a:custGeom>
          <a:avLst/>
          <a:gdLst/>
          <a:ahLst/>
          <a:cxnLst/>
          <a:rect l="0" t="0" r="0" b="0"/>
          <a:pathLst>
            <a:path>
              <a:moveTo>
                <a:pt x="0" y="0"/>
              </a:moveTo>
              <a:lnTo>
                <a:pt x="0" y="145971"/>
              </a:lnTo>
              <a:lnTo>
                <a:pt x="841071" y="145971"/>
              </a:lnTo>
              <a:lnTo>
                <a:pt x="841071" y="2919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156A6A-A580-4153-B57A-70E9EC9B796E}">
      <dsp:nvSpPr>
        <dsp:cNvPr id="0" name=""/>
        <dsp:cNvSpPr/>
      </dsp:nvSpPr>
      <dsp:spPr>
        <a:xfrm>
          <a:off x="1773974" y="695692"/>
          <a:ext cx="841071" cy="291942"/>
        </a:xfrm>
        <a:custGeom>
          <a:avLst/>
          <a:gdLst/>
          <a:ahLst/>
          <a:cxnLst/>
          <a:rect l="0" t="0" r="0" b="0"/>
          <a:pathLst>
            <a:path>
              <a:moveTo>
                <a:pt x="841071" y="0"/>
              </a:moveTo>
              <a:lnTo>
                <a:pt x="841071" y="145971"/>
              </a:lnTo>
              <a:lnTo>
                <a:pt x="0" y="145971"/>
              </a:lnTo>
              <a:lnTo>
                <a:pt x="0" y="2919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A61E44-C1C4-4251-9555-407AC04CD974}">
      <dsp:nvSpPr>
        <dsp:cNvPr id="0" name=""/>
        <dsp:cNvSpPr/>
      </dsp:nvSpPr>
      <dsp:spPr>
        <a:xfrm>
          <a:off x="1931025" y="592"/>
          <a:ext cx="1368040" cy="6951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FP&amp;A UK&amp;I</a:t>
          </a:r>
        </a:p>
      </dsp:txBody>
      <dsp:txXfrm>
        <a:off x="1931025" y="592"/>
        <a:ext cx="1368040" cy="695100"/>
      </dsp:txXfrm>
    </dsp:sp>
    <dsp:sp modelId="{2C088F46-D291-4DD5-80DB-43BCF2078E5F}">
      <dsp:nvSpPr>
        <dsp:cNvPr id="0" name=""/>
        <dsp:cNvSpPr/>
      </dsp:nvSpPr>
      <dsp:spPr>
        <a:xfrm>
          <a:off x="1078873" y="987634"/>
          <a:ext cx="1390200" cy="6951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Financial Analysis</a:t>
          </a:r>
        </a:p>
      </dsp:txBody>
      <dsp:txXfrm>
        <a:off x="1078873" y="987634"/>
        <a:ext cx="1390200" cy="695100"/>
      </dsp:txXfrm>
    </dsp:sp>
    <dsp:sp modelId="{46EA4DAF-8058-4FAE-B143-FBD821319166}">
      <dsp:nvSpPr>
        <dsp:cNvPr id="0" name=""/>
        <dsp:cNvSpPr/>
      </dsp:nvSpPr>
      <dsp:spPr>
        <a:xfrm>
          <a:off x="2761016" y="987634"/>
          <a:ext cx="1390200" cy="6951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FP&amp;A Manager</a:t>
          </a:r>
        </a:p>
      </dsp:txBody>
      <dsp:txXfrm>
        <a:off x="2761016" y="987634"/>
        <a:ext cx="1390200" cy="6951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A70FB5BA135E4DACF571DF6D166923" ma:contentTypeVersion="4" ma:contentTypeDescription="Create a new document." ma:contentTypeScope="" ma:versionID="86afaeb225b0ddfb3e0d0c5bea3e5997">
  <xsd:schema xmlns:xsd="http://www.w3.org/2001/XMLSchema" xmlns:xs="http://www.w3.org/2001/XMLSchema" xmlns:p="http://schemas.microsoft.com/office/2006/metadata/properties" xmlns:ns2="9a55f1cb-af2e-4690-a4d3-5f886cda0807" targetNamespace="http://schemas.microsoft.com/office/2006/metadata/properties" ma:root="true" ma:fieldsID="0461ad59fe18bb7ff067eb65a00cc212" ns2:_="">
    <xsd:import namespace="9a55f1cb-af2e-4690-a4d3-5f886cda08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5f1cb-af2e-4690-a4d3-5f886cda0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9FB425-A218-4AAE-BF95-0A92CDAE9A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518B53-5906-4636-8463-4EC86DB9F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5f1cb-af2e-4690-a4d3-5f886cda0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1F9BEC-9841-478A-8269-1A12ABA8F9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724</Words>
  <Characters>4128</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Firth, David</cp:lastModifiedBy>
  <cp:revision>3</cp:revision>
  <dcterms:created xsi:type="dcterms:W3CDTF">2024-11-11T10:12:00Z</dcterms:created>
  <dcterms:modified xsi:type="dcterms:W3CDTF">2024-11-11T10:14:00Z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0x0101003BA70FB5BA135E4DACF571DF6D166923</vt:lpwstr>
  </property>
</Properties>
</file>