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28C8" w14:textId="77777777" w:rsidR="00B732F1" w:rsidRPr="00D62A1A" w:rsidRDefault="004F4B4F" w:rsidP="00E0327A">
      <w:pPr>
        <w:pStyle w:val="Puce3"/>
        <w:numPr>
          <w:ilvl w:val="0"/>
          <w:numId w:val="0"/>
        </w:numPr>
        <w:ind w:left="56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44D582" wp14:editId="2ABFB95D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D075282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D5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2D075282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006848" w14:textId="77777777" w:rsidR="00BE36E2" w:rsidRPr="00D62A1A" w:rsidRDefault="009D170B" w:rsidP="008978A8">
      <w:pPr>
        <w:pStyle w:val="Grandtitre"/>
      </w:pPr>
      <w:r>
        <w:t>Job description</w:t>
      </w:r>
    </w:p>
    <w:p w14:paraId="18AD7404" w14:textId="10181C94" w:rsidR="009D170B" w:rsidRDefault="00795708" w:rsidP="008978A8">
      <w:pPr>
        <w:pStyle w:val="Heading2"/>
      </w:pPr>
      <w:r>
        <w:t xml:space="preserve">Head of OPerations – </w:t>
      </w:r>
      <w:r w:rsidRPr="00795708">
        <w:rPr>
          <w:sz w:val="24"/>
          <w:szCs w:val="24"/>
        </w:rPr>
        <w:t>Integrated Facilities Manag</w:t>
      </w:r>
      <w:r>
        <w:rPr>
          <w:sz w:val="24"/>
          <w:szCs w:val="24"/>
        </w:rPr>
        <w:t>e</w:t>
      </w:r>
      <w:r w:rsidRPr="00795708">
        <w:rPr>
          <w:sz w:val="24"/>
          <w:szCs w:val="24"/>
        </w:rPr>
        <w:t>ment</w:t>
      </w:r>
    </w:p>
    <w:p w14:paraId="51487978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369"/>
      </w:tblGrid>
      <w:tr w:rsidR="002A2AFC" w:rsidRPr="00876EDD" w14:paraId="38F7175D" w14:textId="77777777" w:rsidTr="00FA535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68DD63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6021547" w14:textId="65369279" w:rsidR="002A2AFC" w:rsidRPr="002A2AFC" w:rsidRDefault="00DF3589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Operations</w:t>
            </w:r>
            <w:r w:rsidR="00795708">
              <w:rPr>
                <w:rFonts w:cs="Arial"/>
                <w:color w:val="002060"/>
                <w:sz w:val="20"/>
                <w:szCs w:val="20"/>
              </w:rPr>
              <w:t xml:space="preserve"> (Sodexo Corporate Services Segment)</w:t>
            </w:r>
          </w:p>
        </w:tc>
      </w:tr>
      <w:tr w:rsidR="002A2AFC" w:rsidRPr="00CC21AB" w14:paraId="1A8B0119" w14:textId="77777777" w:rsidTr="00FA535E">
        <w:trPr>
          <w:trHeight w:val="306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82B11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bookmarkStart w:id="0" w:name="_Hlk193880785"/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DA914AD" w14:textId="44B91059" w:rsidR="002A2AFC" w:rsidRPr="002A2AFC" w:rsidRDefault="00795708" w:rsidP="00DC1A65">
            <w:pPr>
              <w:spacing w:before="20" w:after="20"/>
              <w:jc w:val="left"/>
              <w:rPr>
                <w:lang w:val="en-CA"/>
              </w:rPr>
            </w:pPr>
            <w:r w:rsidRPr="00DC1A65">
              <w:rPr>
                <w:rFonts w:cs="Arial"/>
                <w:color w:val="002060"/>
                <w:sz w:val="20"/>
                <w:szCs w:val="20"/>
              </w:rPr>
              <w:t>Head of Operations – Integrated Facilities Management</w:t>
            </w:r>
          </w:p>
        </w:tc>
      </w:tr>
      <w:bookmarkEnd w:id="0"/>
      <w:tr w:rsidR="002A2AFC" w:rsidRPr="00876EDD" w14:paraId="6425D715" w14:textId="77777777" w:rsidTr="00FA535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B5E429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9FEEF0F" w14:textId="42338E5A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14:paraId="7F25FFA9" w14:textId="77777777" w:rsidTr="00FA535E">
        <w:trPr>
          <w:trHeight w:val="430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92928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6CA5EB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6E04CFD5" w14:textId="77777777" w:rsidTr="00FA535E">
        <w:trPr>
          <w:trHeight w:val="414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CDE7AF" w14:textId="470D9908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</w:p>
        </w:tc>
        <w:tc>
          <w:tcPr>
            <w:tcW w:w="7369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3E16FD" w14:textId="55D37D77" w:rsidR="002A2AFC" w:rsidRPr="005A3EC8" w:rsidRDefault="0079570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Account Manager</w:t>
            </w:r>
          </w:p>
        </w:tc>
      </w:tr>
      <w:tr w:rsidR="002A2AFC" w14:paraId="50F3AA36" w14:textId="77777777" w:rsidTr="00FA535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61C1C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13039" w14:textId="0FD05548" w:rsidR="002A2AFC" w:rsidRPr="005A3EC8" w:rsidRDefault="0079570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N/A</w:t>
            </w:r>
          </w:p>
        </w:tc>
      </w:tr>
      <w:tr w:rsidR="002A2AFC" w14:paraId="60F4BFC5" w14:textId="77777777" w:rsidTr="00FA535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5B99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3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1692" w14:textId="4B153994" w:rsidR="002A2AFC" w:rsidRPr="002A2AFC" w:rsidRDefault="008F5749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Newbridge</w:t>
            </w:r>
            <w:r w:rsidR="00795708">
              <w:rPr>
                <w:rFonts w:cs="Arial"/>
                <w:color w:val="002060"/>
                <w:sz w:val="20"/>
                <w:szCs w:val="20"/>
              </w:rPr>
              <w:t>, Kildare</w:t>
            </w:r>
          </w:p>
        </w:tc>
      </w:tr>
    </w:tbl>
    <w:p w14:paraId="286DD584" w14:textId="77777777" w:rsidR="002A2AFC" w:rsidRPr="00FC10AB" w:rsidRDefault="002A2AFC" w:rsidP="00D1087C">
      <w:pPr>
        <w:pStyle w:val="Texte2"/>
        <w:rPr>
          <w:sz w:val="18"/>
        </w:rPr>
      </w:pPr>
    </w:p>
    <w:tbl>
      <w:tblPr>
        <w:tblpPr w:leftFromText="181" w:rightFromText="181" w:vertAnchor="text" w:horzAnchor="margin" w:tblpXSpec="center" w:tblpY="19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C81814" w:rsidRPr="00C81814" w14:paraId="084472A7" w14:textId="77777777" w:rsidTr="00FA535E">
        <w:trPr>
          <w:trHeight w:val="364"/>
        </w:trPr>
        <w:tc>
          <w:tcPr>
            <w:tcW w:w="10627" w:type="dxa"/>
            <w:shd w:val="clear" w:color="auto" w:fill="F2F2F2"/>
            <w:vAlign w:val="center"/>
          </w:tcPr>
          <w:p w14:paraId="18A4E07A" w14:textId="77777777" w:rsidR="002A2AFC" w:rsidRPr="00C81814" w:rsidRDefault="002A2AFC" w:rsidP="000E06E7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color w:val="auto"/>
              </w:rPr>
            </w:pPr>
            <w:r w:rsidRPr="00C81814">
              <w:rPr>
                <w:color w:val="auto"/>
              </w:rPr>
              <w:t xml:space="preserve">1.  </w:t>
            </w:r>
            <w:r w:rsidR="002B7F09" w:rsidRPr="00C81814">
              <w:rPr>
                <w:color w:val="auto"/>
              </w:rPr>
              <w:t>Purpose of the Job</w:t>
            </w:r>
          </w:p>
        </w:tc>
      </w:tr>
      <w:tr w:rsidR="00C81814" w:rsidRPr="00885503" w14:paraId="648E640B" w14:textId="77777777" w:rsidTr="006C34DF">
        <w:trPr>
          <w:trHeight w:val="5865"/>
        </w:trPr>
        <w:tc>
          <w:tcPr>
            <w:tcW w:w="10627" w:type="dxa"/>
            <w:vAlign w:val="center"/>
          </w:tcPr>
          <w:p w14:paraId="16F8847E" w14:textId="16FEBC58" w:rsidR="00C510F7" w:rsidRDefault="00C510F7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C510F7">
              <w:rPr>
                <w:rFonts w:cs="Arial"/>
                <w:sz w:val="20"/>
                <w:szCs w:val="20"/>
              </w:rPr>
              <w:t xml:space="preserve">Based at Diageo’s new state-of-the-art brewery in Newbridge, Co. Kildare, this Head of Operations role will lead the end-to-end delivery of Integrated Facilities Management services in a complex, high-volume brewing environment. </w:t>
            </w:r>
          </w:p>
          <w:p w14:paraId="243B6E2F" w14:textId="77777777" w:rsidR="00C510F7" w:rsidRDefault="00C510F7" w:rsidP="00A8237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C2B160B" w14:textId="1D98A636" w:rsidR="006D54E0" w:rsidRDefault="00C510F7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C510F7">
              <w:rPr>
                <w:rFonts w:cs="Arial"/>
                <w:sz w:val="20"/>
                <w:szCs w:val="20"/>
              </w:rPr>
              <w:t xml:space="preserve">The postholder will be accountable for ensuring safe, compliant, and efficient operation of all workplace services that </w:t>
            </w:r>
            <w:r w:rsidR="00582F9E">
              <w:rPr>
                <w:rFonts w:cs="Arial"/>
                <w:sz w:val="20"/>
                <w:szCs w:val="20"/>
              </w:rPr>
              <w:t xml:space="preserve">fall within our scope of </w:t>
            </w:r>
            <w:r w:rsidR="00D01F70">
              <w:rPr>
                <w:rFonts w:cs="Arial"/>
                <w:sz w:val="20"/>
                <w:szCs w:val="20"/>
              </w:rPr>
              <w:t>delivery and</w:t>
            </w:r>
            <w:r w:rsidR="00582F9E">
              <w:rPr>
                <w:rFonts w:cs="Arial"/>
                <w:sz w:val="20"/>
                <w:szCs w:val="20"/>
              </w:rPr>
              <w:t xml:space="preserve"> </w:t>
            </w:r>
            <w:r w:rsidRPr="00C510F7">
              <w:rPr>
                <w:rFonts w:cs="Arial"/>
                <w:sz w:val="20"/>
                <w:szCs w:val="20"/>
              </w:rPr>
              <w:t>underpin production in a GMP-sensitive setting. Acting as the senior operational lead on site, you will combine strategic leadership with hands-on delivery, ensuring that critical assets are maintained to the highest standard, cleaning and hygiene services are consistent with food-grade expectations, and the site operates as a benchmark for safety, compliance, and sustainability.</w:t>
            </w:r>
          </w:p>
          <w:p w14:paraId="3F9F126B" w14:textId="77777777" w:rsidR="006E635C" w:rsidRDefault="006E635C" w:rsidP="00A8237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E447D79" w14:textId="48976F7B" w:rsidR="006E635C" w:rsidRPr="00885503" w:rsidRDefault="006E635C" w:rsidP="00A82379">
            <w:pPr>
              <w:spacing w:after="0"/>
              <w:rPr>
                <w:rFonts w:cs="Arial"/>
                <w:sz w:val="20"/>
                <w:szCs w:val="20"/>
              </w:rPr>
            </w:pPr>
            <w:r w:rsidRPr="00A82379">
              <w:rPr>
                <w:rFonts w:cs="Arial"/>
                <w:sz w:val="20"/>
                <w:szCs w:val="20"/>
              </w:rPr>
              <w:t xml:space="preserve">You’ll be accountable for the financial performance of the </w:t>
            </w:r>
            <w:r>
              <w:rPr>
                <w:rFonts w:cs="Arial"/>
                <w:sz w:val="20"/>
                <w:szCs w:val="20"/>
              </w:rPr>
              <w:t>site</w:t>
            </w:r>
            <w:r w:rsidRPr="00A82379">
              <w:rPr>
                <w:rFonts w:cs="Arial"/>
                <w:sz w:val="20"/>
                <w:szCs w:val="20"/>
              </w:rPr>
              <w:t>, supplier management, statutory compliance, and identifying opportunities for added value and growth. Collaborating closely with the</w:t>
            </w:r>
            <w:r>
              <w:rPr>
                <w:rFonts w:cs="Arial"/>
                <w:sz w:val="20"/>
                <w:szCs w:val="20"/>
              </w:rPr>
              <w:t xml:space="preserve"> Sodexo</w:t>
            </w:r>
            <w:r w:rsidRPr="00A82379">
              <w:rPr>
                <w:rFonts w:cs="Arial"/>
                <w:sz w:val="20"/>
                <w:szCs w:val="20"/>
              </w:rPr>
              <w:t xml:space="preserve"> regional </w:t>
            </w:r>
            <w:r>
              <w:rPr>
                <w:rFonts w:cs="Arial"/>
                <w:sz w:val="20"/>
                <w:szCs w:val="20"/>
              </w:rPr>
              <w:t>support</w:t>
            </w:r>
            <w:r w:rsidRPr="00A82379">
              <w:rPr>
                <w:rFonts w:cs="Arial"/>
                <w:sz w:val="20"/>
                <w:szCs w:val="20"/>
              </w:rPr>
              <w:t xml:space="preserve"> team</w:t>
            </w:r>
            <w:r>
              <w:rPr>
                <w:rFonts w:cs="Arial"/>
                <w:sz w:val="20"/>
                <w:szCs w:val="20"/>
              </w:rPr>
              <w:t>s</w:t>
            </w:r>
            <w:r w:rsidRPr="00A82379">
              <w:rPr>
                <w:rFonts w:cs="Arial"/>
                <w:sz w:val="20"/>
                <w:szCs w:val="20"/>
              </w:rPr>
              <w:t xml:space="preserve"> and national support functions, you’ll ensure consistent, high-quality service that meets both contractual obligations and the evolving needs of the client.</w:t>
            </w:r>
          </w:p>
        </w:tc>
      </w:tr>
    </w:tbl>
    <w:p w14:paraId="2EF6F663" w14:textId="77777777" w:rsidR="00FC10AB" w:rsidRPr="00885503" w:rsidRDefault="00FC10AB" w:rsidP="00D21CD0">
      <w:pPr>
        <w:rPr>
          <w:rFonts w:cs="Arial"/>
          <w:sz w:val="20"/>
          <w:szCs w:val="20"/>
        </w:rPr>
      </w:pPr>
    </w:p>
    <w:p w14:paraId="4D6BCD00" w14:textId="77777777" w:rsidR="00FC10AB" w:rsidRPr="00885503" w:rsidRDefault="00FC10AB">
      <w:pPr>
        <w:spacing w:after="0"/>
        <w:jc w:val="left"/>
        <w:rPr>
          <w:rFonts w:cs="Arial"/>
          <w:sz w:val="20"/>
          <w:szCs w:val="20"/>
        </w:rPr>
      </w:pPr>
      <w:r w:rsidRPr="00885503">
        <w:rPr>
          <w:rFonts w:cs="Arial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21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0C3CE8" w:rsidRPr="00885503" w14:paraId="544430F3" w14:textId="77777777" w:rsidTr="000C3CE8">
        <w:trPr>
          <w:trHeight w:val="428"/>
        </w:trPr>
        <w:tc>
          <w:tcPr>
            <w:tcW w:w="104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DDA65D" w14:textId="77777777" w:rsidR="000C3CE8" w:rsidRPr="00885503" w:rsidRDefault="000C3CE8" w:rsidP="000C3CE8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lastRenderedPageBreak/>
              <w:t xml:space="preserve">2. </w:t>
            </w:r>
            <w:r w:rsidRPr="00885503">
              <w:rPr>
                <w:color w:val="auto"/>
              </w:rPr>
              <w:tab/>
            </w:r>
            <w:proofErr w:type="spellStart"/>
            <w:r w:rsidRPr="00140F65">
              <w:rPr>
                <w:color w:val="auto"/>
                <w:highlight w:val="yellow"/>
              </w:rPr>
              <w:t>Organisation</w:t>
            </w:r>
            <w:proofErr w:type="spellEnd"/>
            <w:r w:rsidRPr="00140F65">
              <w:rPr>
                <w:color w:val="auto"/>
                <w:highlight w:val="yellow"/>
              </w:rPr>
              <w:t xml:space="preserve"> chart</w:t>
            </w:r>
          </w:p>
        </w:tc>
      </w:tr>
      <w:tr w:rsidR="000C3CE8" w:rsidRPr="00885503" w14:paraId="499D0DB9" w14:textId="77777777" w:rsidTr="000C3CE8">
        <w:trPr>
          <w:trHeight w:val="3663"/>
        </w:trPr>
        <w:tc>
          <w:tcPr>
            <w:tcW w:w="10443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716BB29" w14:textId="77777777" w:rsidR="000C3CE8" w:rsidRPr="00885503" w:rsidRDefault="000C3CE8" w:rsidP="000C3C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16E86B" w14:textId="77777777" w:rsidR="000C3CE8" w:rsidRPr="00885503" w:rsidRDefault="000C3CE8" w:rsidP="000C3C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FDF0026" w14:textId="1D25D714" w:rsidR="000C3CE8" w:rsidRDefault="004130A0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FB8E378" wp14:editId="02FB5E32">
                  <wp:extent cx="2724150" cy="2876550"/>
                  <wp:effectExtent l="0" t="0" r="0" b="0"/>
                  <wp:docPr id="1186610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1014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F6236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0298BA08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02C1D6B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FA39753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78CC30F9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58D5EA2F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27ED1CB5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32566B50" w14:textId="77777777" w:rsidR="00DC1A65" w:rsidRDefault="00DC1A65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3C529C97" w14:textId="77777777" w:rsidR="00DC1A65" w:rsidRDefault="00DC1A65" w:rsidP="00DC1A65">
            <w:pPr>
              <w:spacing w:after="40"/>
              <w:rPr>
                <w:rFonts w:cs="Arial"/>
                <w:noProof/>
                <w:sz w:val="20"/>
                <w:szCs w:val="20"/>
                <w:lang w:eastAsia="en-GB"/>
              </w:rPr>
            </w:pPr>
          </w:p>
          <w:p w14:paraId="11B24C28" w14:textId="77777777" w:rsidR="00DC1A65" w:rsidRPr="00885503" w:rsidRDefault="00DC1A65" w:rsidP="00DC1A65">
            <w:pPr>
              <w:spacing w:after="40"/>
              <w:rPr>
                <w:rFonts w:cs="Arial"/>
                <w:noProof/>
                <w:sz w:val="20"/>
                <w:szCs w:val="20"/>
                <w:lang w:eastAsia="en-US"/>
              </w:rPr>
            </w:pPr>
          </w:p>
          <w:p w14:paraId="5915A33F" w14:textId="77777777" w:rsidR="000C3CE8" w:rsidRPr="00885503" w:rsidRDefault="000C3CE8" w:rsidP="000C3CE8">
            <w:pPr>
              <w:spacing w:after="40"/>
              <w:jc w:val="center"/>
              <w:rPr>
                <w:rFonts w:cs="Arial"/>
                <w:noProof/>
                <w:sz w:val="20"/>
                <w:szCs w:val="20"/>
                <w:lang w:eastAsia="en-US"/>
              </w:rPr>
            </w:pPr>
          </w:p>
          <w:p w14:paraId="2E248207" w14:textId="77777777" w:rsidR="000C3CE8" w:rsidRPr="00885503" w:rsidRDefault="000C3CE8" w:rsidP="000C3CE8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3FDC47B2" w14:textId="77777777" w:rsidR="00CA10C7" w:rsidRPr="00885503" w:rsidRDefault="00CA10C7" w:rsidP="00F54179">
      <w:pPr>
        <w:jc w:val="left"/>
        <w:rPr>
          <w:rFonts w:cs="Arial"/>
          <w:sz w:val="20"/>
          <w:szCs w:val="20"/>
        </w:rPr>
      </w:pPr>
    </w:p>
    <w:tbl>
      <w:tblPr>
        <w:tblpPr w:leftFromText="181" w:rightFromText="181" w:vertAnchor="page" w:horzAnchor="margin" w:tblpXSpec="center" w:tblpY="69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3"/>
      </w:tblGrid>
      <w:tr w:rsidR="00C81814" w:rsidRPr="00885503" w14:paraId="1190ECA1" w14:textId="77777777" w:rsidTr="000C3CE8">
        <w:tc>
          <w:tcPr>
            <w:tcW w:w="10413" w:type="dxa"/>
            <w:shd w:val="clear" w:color="auto" w:fill="F2F2F2"/>
            <w:vAlign w:val="center"/>
          </w:tcPr>
          <w:p w14:paraId="00B742F9" w14:textId="0C55684A" w:rsidR="00F54179" w:rsidRPr="00885503" w:rsidRDefault="000C3CE8" w:rsidP="000C3CE8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885503">
              <w:rPr>
                <w:color w:val="auto"/>
              </w:rPr>
              <w:lastRenderedPageBreak/>
              <w:t>3</w:t>
            </w:r>
            <w:r w:rsidR="00F54179" w:rsidRPr="00885503">
              <w:rPr>
                <w:color w:val="auto"/>
              </w:rPr>
              <w:t>.  Main assignments</w:t>
            </w:r>
          </w:p>
        </w:tc>
      </w:tr>
      <w:tr w:rsidR="00C81814" w:rsidRPr="00885503" w14:paraId="1573C682" w14:textId="77777777" w:rsidTr="000C3CE8">
        <w:tc>
          <w:tcPr>
            <w:tcW w:w="10413" w:type="dxa"/>
            <w:vAlign w:val="center"/>
          </w:tcPr>
          <w:p w14:paraId="46C13BAF" w14:textId="77777777" w:rsidR="00414ADC" w:rsidRPr="007333DC" w:rsidRDefault="00414ADC" w:rsidP="00414ADC">
            <w:pPr>
              <w:shd w:val="clear" w:color="auto" w:fill="FFFFFF"/>
              <w:spacing w:before="100" w:beforeAutospacing="1"/>
              <w:ind w:left="595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</w:p>
          <w:p w14:paraId="79E843EB" w14:textId="6DC445BF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Client &amp; Contract Management</w:t>
            </w:r>
          </w:p>
          <w:p w14:paraId="5E82794B" w14:textId="77777777" w:rsidR="007333DC" w:rsidRPr="007333DC" w:rsidRDefault="007333DC" w:rsidP="007333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Act as the primary FM interface with Diageo, aligning facilities services to production priorities and GMP requirements.</w:t>
            </w:r>
          </w:p>
          <w:p w14:paraId="4E7413E1" w14:textId="0B049E8B" w:rsidR="007333DC" w:rsidRPr="007333DC" w:rsidRDefault="007333DC" w:rsidP="007333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Oversee day-to-day delivery of hard</w:t>
            </w:r>
            <w:r w:rsidR="008C771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7333DC">
              <w:rPr>
                <w:rFonts w:ascii="Arial" w:hAnsi="Arial" w:cs="Arial"/>
                <w:sz w:val="20"/>
                <w:szCs w:val="20"/>
              </w:rPr>
              <w:t xml:space="preserve"> soft</w:t>
            </w:r>
            <w:r w:rsidR="008C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3DC">
              <w:rPr>
                <w:rFonts w:ascii="Arial" w:hAnsi="Arial" w:cs="Arial"/>
                <w:sz w:val="20"/>
                <w:szCs w:val="20"/>
              </w:rPr>
              <w:t>services, ensuring integration with brewery operations.</w:t>
            </w:r>
          </w:p>
          <w:p w14:paraId="562B6C37" w14:textId="77777777" w:rsidR="007333DC" w:rsidRPr="007333DC" w:rsidRDefault="007333DC" w:rsidP="007333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Drive mobilisation, stabilisation, and ongoing service development for a new-build, high-complexity site.</w:t>
            </w:r>
          </w:p>
          <w:p w14:paraId="5AE34CC6" w14:textId="0DEF234D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EHS &amp; Compliance</w:t>
            </w:r>
          </w:p>
          <w:p w14:paraId="5D053D1E" w14:textId="77777777" w:rsidR="007333DC" w:rsidRPr="007333DC" w:rsidRDefault="007333DC" w:rsidP="007333D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Lead a culture where safety and food-safe GMP practices are second nature.</w:t>
            </w:r>
          </w:p>
          <w:p w14:paraId="2D068509" w14:textId="36B05F8A" w:rsidR="007333DC" w:rsidRPr="007333DC" w:rsidRDefault="007333DC" w:rsidP="007333D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Ensure statutory and regulatory compliance across building services, fire safety, and workplace safety.</w:t>
            </w:r>
          </w:p>
          <w:p w14:paraId="6E2A7BA4" w14:textId="70DAB3C3" w:rsidR="007333DC" w:rsidRPr="007333DC" w:rsidRDefault="007333DC" w:rsidP="007333D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Maintain robust audit trails, permits, and records, with proactive risk management tailored to a live brewing</w:t>
            </w:r>
            <w:r w:rsidR="00FE1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3DC">
              <w:rPr>
                <w:rFonts w:ascii="Arial" w:hAnsi="Arial" w:cs="Arial"/>
                <w:sz w:val="20"/>
                <w:szCs w:val="20"/>
              </w:rPr>
              <w:t>environment.</w:t>
            </w:r>
          </w:p>
          <w:p w14:paraId="6ED62674" w14:textId="26E2FE22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Technical &amp; Maintenance Services</w:t>
            </w:r>
          </w:p>
          <w:p w14:paraId="288E354A" w14:textId="0D916CC5" w:rsidR="007333DC" w:rsidRPr="007333DC" w:rsidRDefault="007333DC" w:rsidP="007333D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 xml:space="preserve">Oversee delivery of planned and reactive maintenance </w:t>
            </w:r>
            <w:r w:rsidR="003E09EE">
              <w:rPr>
                <w:rFonts w:ascii="Arial" w:hAnsi="Arial" w:cs="Arial"/>
                <w:sz w:val="20"/>
                <w:szCs w:val="20"/>
              </w:rPr>
              <w:t xml:space="preserve">services </w:t>
            </w:r>
            <w:r w:rsidRPr="007333DC">
              <w:rPr>
                <w:rFonts w:ascii="Arial" w:hAnsi="Arial" w:cs="Arial"/>
                <w:sz w:val="20"/>
                <w:szCs w:val="20"/>
              </w:rPr>
              <w:t xml:space="preserve">for critical </w:t>
            </w:r>
            <w:r w:rsidR="00F1721A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Pr="007333DC">
              <w:rPr>
                <w:rFonts w:ascii="Arial" w:hAnsi="Arial" w:cs="Arial"/>
                <w:sz w:val="20"/>
                <w:szCs w:val="20"/>
              </w:rPr>
              <w:t xml:space="preserve">assets </w:t>
            </w:r>
            <w:r w:rsidR="00F1721A">
              <w:rPr>
                <w:rFonts w:ascii="Arial" w:hAnsi="Arial" w:cs="Arial"/>
                <w:sz w:val="20"/>
                <w:szCs w:val="20"/>
              </w:rPr>
              <w:t>that fall within scope</w:t>
            </w:r>
            <w:r w:rsidR="00CA15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BA69F" w14:textId="77777777" w:rsidR="007333DC" w:rsidRPr="007333DC" w:rsidRDefault="007333DC" w:rsidP="007333D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Lead lifecycle planning and asset strategy to optimise performance, availability, and cost efficiency.</w:t>
            </w:r>
          </w:p>
          <w:p w14:paraId="77340497" w14:textId="448F8F34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Cleaning &amp; Soft Services</w:t>
            </w:r>
          </w:p>
          <w:p w14:paraId="21A1051A" w14:textId="5467A9FF" w:rsidR="007333DC" w:rsidRPr="007333DC" w:rsidRDefault="007333DC" w:rsidP="007333D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Ensure delivery of specialist cleaning and hygiene services across production and GMP areas</w:t>
            </w:r>
            <w:r w:rsidR="00BE7C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4D6DD1" w14:textId="6063804A" w:rsidR="007333DC" w:rsidRPr="007333DC" w:rsidRDefault="007333DC" w:rsidP="007333D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Oversee soft services including security, grounds, waste management, and catering support</w:t>
            </w:r>
            <w:r w:rsidR="00BE7C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7ACDAE" w14:textId="2EBDAED2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Financial Performance</w:t>
            </w:r>
          </w:p>
          <w:p w14:paraId="0431757D" w14:textId="1CBF5DB5" w:rsidR="007333DC" w:rsidRPr="007333DC" w:rsidRDefault="007333DC" w:rsidP="007333D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 xml:space="preserve">Own budgets and financial performance, balancing cost control with </w:t>
            </w:r>
            <w:r w:rsidR="00BE7CCD">
              <w:rPr>
                <w:rFonts w:ascii="Arial" w:hAnsi="Arial" w:cs="Arial"/>
                <w:sz w:val="20"/>
                <w:szCs w:val="20"/>
              </w:rPr>
              <w:t>service delivery</w:t>
            </w:r>
            <w:r w:rsidRPr="007333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74F7C0" w14:textId="77777777" w:rsidR="007333DC" w:rsidRPr="007333DC" w:rsidRDefault="007333DC" w:rsidP="007333D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Implement efficient service models that leverage data insight to reduce downtime, increase first-time fix rates, and maximise asset value.</w:t>
            </w:r>
          </w:p>
          <w:p w14:paraId="3A517B8F" w14:textId="2652F109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People Management</w:t>
            </w:r>
          </w:p>
          <w:p w14:paraId="62FDEBB2" w14:textId="77777777" w:rsidR="007333DC" w:rsidRPr="007333DC" w:rsidRDefault="007333DC" w:rsidP="007333D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Lead, coach, and develop a multi-disciplinary team across technical trades, cleaning, and support services.</w:t>
            </w:r>
          </w:p>
          <w:p w14:paraId="42480832" w14:textId="77777777" w:rsidR="007333DC" w:rsidRPr="007333DC" w:rsidRDefault="007333DC" w:rsidP="007333D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Fonts w:ascii="Arial" w:hAnsi="Arial" w:cs="Arial"/>
                <w:sz w:val="20"/>
                <w:szCs w:val="20"/>
              </w:rPr>
              <w:t>Ensure competency frameworks are in place, particularly for Authorised and Competent Persons managing critical systems.</w:t>
            </w:r>
          </w:p>
          <w:p w14:paraId="606F3BA8" w14:textId="45DBAC0C" w:rsidR="007333DC" w:rsidRPr="007333DC" w:rsidRDefault="007333DC" w:rsidP="00733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33DC">
              <w:rPr>
                <w:rStyle w:val="Strong"/>
                <w:rFonts w:ascii="Arial" w:hAnsi="Arial" w:cs="Arial"/>
                <w:sz w:val="20"/>
                <w:szCs w:val="20"/>
              </w:rPr>
              <w:t>Continuous Improvement</w:t>
            </w:r>
          </w:p>
          <w:p w14:paraId="26507F8A" w14:textId="0D88F9FA" w:rsidR="007333DC" w:rsidRPr="007333DC" w:rsidRDefault="0024354E" w:rsidP="007333DC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7333DC" w:rsidRPr="007333DC">
              <w:rPr>
                <w:rFonts w:ascii="Arial" w:hAnsi="Arial" w:cs="Arial"/>
                <w:sz w:val="20"/>
                <w:szCs w:val="20"/>
              </w:rPr>
              <w:t xml:space="preserve"> proactive and risk-based approaches to </w:t>
            </w:r>
            <w:r>
              <w:rPr>
                <w:rFonts w:ascii="Arial" w:hAnsi="Arial" w:cs="Arial"/>
                <w:sz w:val="20"/>
                <w:szCs w:val="20"/>
              </w:rPr>
              <w:t>deliver value.</w:t>
            </w:r>
          </w:p>
          <w:p w14:paraId="79398CFF" w14:textId="13DCC38C" w:rsidR="007333DC" w:rsidRPr="007333DC" w:rsidRDefault="00D522F1" w:rsidP="007333DC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Pr="00733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DC" w:rsidRPr="007333DC">
              <w:rPr>
                <w:rFonts w:ascii="Arial" w:hAnsi="Arial" w:cs="Arial"/>
                <w:sz w:val="20"/>
                <w:szCs w:val="20"/>
              </w:rPr>
              <w:t>operational and sustainability improvements that enhance energy, water, and waste performance, supporting Diageo’s environmental commitments.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34E64B" w14:textId="1BD0F0B6" w:rsidR="000351C5" w:rsidRPr="007333DC" w:rsidRDefault="000351C5" w:rsidP="000351C5">
            <w:pPr>
              <w:shd w:val="clear" w:color="auto" w:fill="FFFFFF"/>
              <w:spacing w:before="100" w:beforeAutospacing="1"/>
              <w:ind w:left="720"/>
              <w:rPr>
                <w:rFonts w:eastAsia="Times New Roman" w:cs="Arial"/>
                <w:color w:val="0F151A"/>
                <w:sz w:val="20"/>
                <w:szCs w:val="20"/>
                <w:lang w:eastAsia="en-GB"/>
              </w:rPr>
            </w:pPr>
          </w:p>
        </w:tc>
      </w:tr>
    </w:tbl>
    <w:p w14:paraId="15931510" w14:textId="77777777" w:rsidR="00F54179" w:rsidRPr="00885503" w:rsidRDefault="00F54179" w:rsidP="00F54179">
      <w:pPr>
        <w:rPr>
          <w:rFonts w:cs="Arial"/>
          <w:sz w:val="20"/>
          <w:szCs w:val="20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C81814" w:rsidRPr="00885503" w14:paraId="60C4C95A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9BC441" w14:textId="50286365" w:rsidR="00F54179" w:rsidRPr="00885503" w:rsidRDefault="00C81814" w:rsidP="008650D0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t>5</w:t>
            </w:r>
            <w:r w:rsidR="00F54179" w:rsidRPr="00885503">
              <w:rPr>
                <w:color w:val="auto"/>
              </w:rPr>
              <w:t>.  Accountabilities</w:t>
            </w:r>
          </w:p>
        </w:tc>
      </w:tr>
      <w:tr w:rsidR="00C81814" w:rsidRPr="00885503" w14:paraId="12C4793E" w14:textId="77777777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F20D39" w14:textId="77777777" w:rsidR="00833842" w:rsidRDefault="00833842" w:rsidP="00833842">
            <w:pPr>
              <w:ind w:left="775"/>
              <w:jc w:val="left"/>
              <w:rPr>
                <w:rFonts w:cs="Arial"/>
                <w:sz w:val="20"/>
                <w:szCs w:val="20"/>
              </w:rPr>
            </w:pPr>
          </w:p>
          <w:p w14:paraId="35F3E551" w14:textId="6A25FDAC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All facilities services (hard FM, cleaning, security, catering, waste, grounds) delivered to contract requirements and GMP standards.</w:t>
            </w:r>
          </w:p>
          <w:p w14:paraId="68B1226D" w14:textId="35AC6F57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Zero compromise on statutory, regulatory, and food-safety compliance.</w:t>
            </w:r>
          </w:p>
          <w:p w14:paraId="6E828CCE" w14:textId="2A6D6DA3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High availability of critical production support systems.</w:t>
            </w:r>
          </w:p>
          <w:p w14:paraId="2160B98B" w14:textId="7BD5C2ED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Strong client engagement and retention through value delivery and innovation.</w:t>
            </w:r>
          </w:p>
          <w:p w14:paraId="16BAC2F8" w14:textId="03BFEDDD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Operational data and asset records maintained accurately to support audits and lifecycle planning.</w:t>
            </w:r>
          </w:p>
          <w:p w14:paraId="15D663C9" w14:textId="2110EE62" w:rsidR="00543DF2" w:rsidRPr="00543DF2" w:rsidRDefault="00543DF2" w:rsidP="00543DF2">
            <w:pPr>
              <w:pStyle w:val="NormalWeb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43DF2">
              <w:rPr>
                <w:rFonts w:ascii="Arial" w:hAnsi="Arial" w:cs="Arial"/>
                <w:sz w:val="20"/>
                <w:szCs w:val="20"/>
              </w:rPr>
              <w:t>Site recognised as a best-in-class FM operation</w:t>
            </w:r>
            <w:r w:rsidRPr="00543DF2">
              <w:rPr>
                <w:sz w:val="20"/>
                <w:szCs w:val="20"/>
              </w:rPr>
              <w:t xml:space="preserve"> supporting world-leading brewing output.</w:t>
            </w:r>
          </w:p>
          <w:p w14:paraId="3AC0D552" w14:textId="48B0F1A3" w:rsidR="00A37247" w:rsidRPr="00885503" w:rsidRDefault="00A37247" w:rsidP="00833842">
            <w:pPr>
              <w:ind w:left="59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650D0" w:rsidRPr="00885503" w14:paraId="378B239A" w14:textId="77777777" w:rsidTr="0027201F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3F396E" w14:textId="49A6EB4F" w:rsidR="008650D0" w:rsidRPr="00885503" w:rsidRDefault="008650D0" w:rsidP="008650D0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885503">
              <w:rPr>
                <w:rFonts w:cs="Arial"/>
                <w:b/>
                <w:sz w:val="20"/>
                <w:szCs w:val="20"/>
                <w:lang w:val="en-US"/>
              </w:rPr>
              <w:t>6. Person Specification</w:t>
            </w:r>
          </w:p>
        </w:tc>
      </w:tr>
      <w:tr w:rsidR="008650D0" w:rsidRPr="00885503" w14:paraId="4F608557" w14:textId="77777777" w:rsidTr="0027201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77682D" w14:textId="77777777" w:rsidR="000351C5" w:rsidRDefault="000351C5" w:rsidP="008650D0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70E0CC2F" w14:textId="77777777" w:rsidR="00833842" w:rsidRPr="00833842" w:rsidRDefault="00833842" w:rsidP="00833842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33842">
              <w:rPr>
                <w:rFonts w:cs="Arial"/>
                <w:b/>
                <w:bCs/>
                <w:sz w:val="20"/>
                <w:szCs w:val="20"/>
              </w:rPr>
              <w:t>Essential</w:t>
            </w:r>
          </w:p>
          <w:p w14:paraId="6131E983" w14:textId="7D3849B1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Degree-level education in a relevant subject</w:t>
            </w:r>
            <w:r>
              <w:rPr>
                <w:rFonts w:cs="Arial"/>
                <w:bCs/>
                <w:sz w:val="20"/>
                <w:szCs w:val="20"/>
              </w:rPr>
              <w:t xml:space="preserve"> such as </w:t>
            </w:r>
            <w:r w:rsidR="00FB5521">
              <w:rPr>
                <w:rFonts w:cs="Arial"/>
                <w:bCs/>
                <w:sz w:val="20"/>
                <w:szCs w:val="20"/>
              </w:rPr>
              <w:t xml:space="preserve">engineering, </w:t>
            </w:r>
            <w:r>
              <w:rPr>
                <w:rFonts w:cs="Arial"/>
                <w:bCs/>
                <w:sz w:val="20"/>
                <w:szCs w:val="20"/>
              </w:rPr>
              <w:t xml:space="preserve">business, management and leadership. </w:t>
            </w:r>
          </w:p>
          <w:p w14:paraId="52D839D4" w14:textId="26BE5D4D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Demonstrable experience working within a manufacturing environment</w:t>
            </w:r>
            <w:r w:rsidR="00254EFA">
              <w:rPr>
                <w:rFonts w:cs="Arial"/>
                <w:bCs/>
                <w:sz w:val="20"/>
                <w:szCs w:val="20"/>
              </w:rPr>
              <w:t>, in particular, experience of GMP compliance.</w:t>
            </w:r>
          </w:p>
          <w:p w14:paraId="4C2F61CA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Health &amp; Safety qualified – IOSH or NEBOSH certified.</w:t>
            </w:r>
          </w:p>
          <w:p w14:paraId="50C7722D" w14:textId="0D047F66" w:rsidR="00833842" w:rsidRPr="00833842" w:rsidRDefault="00DC1A65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Minimum 5 years’ experience in a senior management /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 xml:space="preserve"> leadership </w:t>
            </w:r>
            <w:r>
              <w:rPr>
                <w:rFonts w:cs="Arial"/>
                <w:bCs/>
                <w:sz w:val="20"/>
                <w:szCs w:val="20"/>
              </w:rPr>
              <w:t>position,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 xml:space="preserve"> managing large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multi-functional, high-performing teams</w:t>
            </w:r>
            <w:r w:rsidR="00833842">
              <w:rPr>
                <w:rFonts w:cs="Arial"/>
                <w:bCs/>
                <w:sz w:val="20"/>
                <w:szCs w:val="20"/>
              </w:rPr>
              <w:t xml:space="preserve"> in an Integrated Facilities Management setting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.</w:t>
            </w:r>
          </w:p>
          <w:p w14:paraId="13903C98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Strong problem-solving skills with the ability to remain calm and decisive under pressure.</w:t>
            </w:r>
          </w:p>
          <w:p w14:paraId="1F715C20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Sound understanding of project works and sub-contractor management.</w:t>
            </w:r>
          </w:p>
          <w:p w14:paraId="5AE80759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Decisive and proactive, with a can-do attitude and a sense of ownership.</w:t>
            </w:r>
          </w:p>
          <w:p w14:paraId="126EC55D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Excellent interpersonal and customer service skills.</w:t>
            </w:r>
          </w:p>
          <w:p w14:paraId="3E964711" w14:textId="77777777" w:rsid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Strong PC skills including MS Office, Outlook, and SharePoint.</w:t>
            </w:r>
          </w:p>
          <w:p w14:paraId="5FC61324" w14:textId="77777777" w:rsidR="00833842" w:rsidRPr="00833842" w:rsidRDefault="00833842" w:rsidP="00833842">
            <w:pPr>
              <w:spacing w:after="0" w:line="276" w:lineRule="auto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6313F8E" w14:textId="77777777" w:rsidR="00833842" w:rsidRPr="00833842" w:rsidRDefault="00833842" w:rsidP="00833842">
            <w:pPr>
              <w:spacing w:after="20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33842">
              <w:rPr>
                <w:rFonts w:cs="Arial"/>
                <w:b/>
                <w:bCs/>
                <w:sz w:val="20"/>
                <w:szCs w:val="20"/>
              </w:rPr>
              <w:t>Desirable</w:t>
            </w:r>
          </w:p>
          <w:p w14:paraId="65609CAB" w14:textId="08B36A79" w:rsidR="00833842" w:rsidRDefault="001F380B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</w:t>
            </w:r>
            <w:r w:rsidR="00833842" w:rsidRPr="00833842">
              <w:rPr>
                <w:rFonts w:cs="Arial"/>
                <w:bCs/>
                <w:sz w:val="20"/>
                <w:szCs w:val="20"/>
              </w:rPr>
              <w:t>rofessionally qualified with a recognised Electrical, Mechanical, or Building Services qualification.</w:t>
            </w:r>
          </w:p>
          <w:p w14:paraId="6009E2C0" w14:textId="3BFAB91F" w:rsidR="00284190" w:rsidRDefault="00284190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284190">
              <w:rPr>
                <w:rFonts w:cs="Arial"/>
                <w:bCs/>
                <w:sz w:val="20"/>
                <w:szCs w:val="20"/>
              </w:rPr>
              <w:t xml:space="preserve">Experience mobilising FM services in a new-build industrial </w:t>
            </w:r>
            <w:r>
              <w:rPr>
                <w:rFonts w:cs="Arial"/>
                <w:bCs/>
                <w:sz w:val="20"/>
                <w:szCs w:val="20"/>
              </w:rPr>
              <w:t>environments</w:t>
            </w:r>
            <w:r w:rsidRPr="00284190">
              <w:rPr>
                <w:rFonts w:cs="Arial"/>
                <w:bCs/>
                <w:sz w:val="20"/>
                <w:szCs w:val="20"/>
              </w:rPr>
              <w:t>.</w:t>
            </w:r>
          </w:p>
          <w:p w14:paraId="4545B3B7" w14:textId="57479A21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</w:t>
            </w:r>
            <w:r w:rsidRPr="00833842">
              <w:rPr>
                <w:rFonts w:cs="Arial"/>
                <w:bCs/>
                <w:sz w:val="20"/>
                <w:szCs w:val="20"/>
              </w:rPr>
              <w:t>xperienced in delivering small to medium-sized project works in compliance with PSDP regulations.</w:t>
            </w:r>
          </w:p>
          <w:p w14:paraId="4A5FDF09" w14:textId="466755A0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Relevant professional body membership.</w:t>
            </w:r>
            <w:r w:rsidRPr="00833842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2199248D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Experience in Legionella and Water Quality Management.</w:t>
            </w:r>
          </w:p>
          <w:p w14:paraId="0B1BF990" w14:textId="77777777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833842">
              <w:rPr>
                <w:rFonts w:cs="Arial"/>
                <w:bCs/>
                <w:sz w:val="20"/>
                <w:szCs w:val="20"/>
              </w:rPr>
              <w:t>Proficiency in Asset Management practices.</w:t>
            </w:r>
          </w:p>
          <w:p w14:paraId="4B41AF9A" w14:textId="2E224A7C" w:rsidR="00833842" w:rsidRPr="00833842" w:rsidRDefault="00833842" w:rsidP="00833842">
            <w:pPr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Experience of</w:t>
            </w:r>
            <w:r w:rsidRPr="00833842">
              <w:rPr>
                <w:rFonts w:cs="Arial"/>
                <w:bCs/>
                <w:sz w:val="20"/>
                <w:szCs w:val="20"/>
              </w:rPr>
              <w:t xml:space="preserve"> Authorised Person </w:t>
            </w:r>
            <w:r>
              <w:rPr>
                <w:rFonts w:cs="Arial"/>
                <w:bCs/>
                <w:sz w:val="20"/>
                <w:szCs w:val="20"/>
              </w:rPr>
              <w:t>safe systems of work</w:t>
            </w:r>
            <w:r w:rsidRPr="00833842">
              <w:rPr>
                <w:rFonts w:cs="Arial"/>
                <w:bCs/>
                <w:sz w:val="20"/>
                <w:szCs w:val="20"/>
              </w:rPr>
              <w:t>.</w:t>
            </w:r>
          </w:p>
          <w:p w14:paraId="7AE57258" w14:textId="46FA4D6D" w:rsidR="008650D0" w:rsidRPr="00885503" w:rsidRDefault="008650D0" w:rsidP="00635D62">
            <w:pPr>
              <w:pStyle w:val="ListParagraph"/>
              <w:jc w:val="left"/>
              <w:rPr>
                <w:rFonts w:cs="Arial"/>
                <w:szCs w:val="20"/>
              </w:rPr>
            </w:pPr>
          </w:p>
        </w:tc>
      </w:tr>
    </w:tbl>
    <w:p w14:paraId="656B95DA" w14:textId="790EB9E8" w:rsidR="00155BBD" w:rsidRPr="00885503" w:rsidRDefault="00155BBD" w:rsidP="00635D62">
      <w:pPr>
        <w:spacing w:after="200" w:line="276" w:lineRule="auto"/>
        <w:jc w:val="left"/>
        <w:rPr>
          <w:rFonts w:cs="Arial"/>
          <w:b/>
          <w:sz w:val="20"/>
          <w:szCs w:val="20"/>
        </w:rPr>
      </w:pPr>
    </w:p>
    <w:p w14:paraId="44FEE900" w14:textId="77777777" w:rsidR="00155BBD" w:rsidRPr="00885503" w:rsidRDefault="00155BBD">
      <w:pPr>
        <w:spacing w:after="0"/>
        <w:jc w:val="left"/>
        <w:rPr>
          <w:rFonts w:cs="Arial"/>
          <w:b/>
          <w:sz w:val="20"/>
          <w:szCs w:val="20"/>
        </w:rPr>
      </w:pPr>
      <w:r w:rsidRPr="00885503">
        <w:rPr>
          <w:rFonts w:cs="Arial"/>
          <w:b/>
          <w:sz w:val="20"/>
          <w:szCs w:val="20"/>
        </w:rPr>
        <w:lastRenderedPageBreak/>
        <w:br w:type="page"/>
      </w:r>
    </w:p>
    <w:tbl>
      <w:tblPr>
        <w:tblpPr w:leftFromText="180" w:rightFromText="180" w:vertAnchor="text" w:horzAnchor="margin" w:tblpXSpec="center" w:tblpY="6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155BBD" w:rsidRPr="00885503" w14:paraId="6E7306F4" w14:textId="77777777" w:rsidTr="00155BBD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F022C7" w14:textId="77777777" w:rsidR="00155BBD" w:rsidRPr="00885503" w:rsidRDefault="00155BBD" w:rsidP="00155BBD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85503">
              <w:rPr>
                <w:color w:val="auto"/>
              </w:rPr>
              <w:lastRenderedPageBreak/>
              <w:t xml:space="preserve">8.  Competencies </w:t>
            </w:r>
            <w:r w:rsidRPr="00885503">
              <w:rPr>
                <w:b w:val="0"/>
                <w:color w:val="auto"/>
              </w:rPr>
              <w:t>–</w:t>
            </w:r>
            <w:r w:rsidRPr="00885503">
              <w:rPr>
                <w:color w:val="auto"/>
              </w:rPr>
              <w:t xml:space="preserve"> </w:t>
            </w:r>
            <w:r w:rsidRPr="00885503">
              <w:rPr>
                <w:b w:val="0"/>
                <w:color w:val="auto"/>
              </w:rPr>
              <w:t>Indicate which of the Sodexo core competencies and any professional competencies that the role requires</w:t>
            </w:r>
          </w:p>
        </w:tc>
      </w:tr>
      <w:tr w:rsidR="00155BBD" w:rsidRPr="00885503" w14:paraId="664BB6AD" w14:textId="77777777" w:rsidTr="00155BBD">
        <w:trPr>
          <w:trHeight w:val="268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DEB69A" w14:textId="77777777" w:rsidR="00155BBD" w:rsidRPr="00885503" w:rsidRDefault="00155BBD" w:rsidP="00155BBD">
            <w:pPr>
              <w:spacing w:before="40"/>
              <w:jc w:val="left"/>
              <w:rPr>
                <w:rFonts w:cs="Arial"/>
                <w:sz w:val="20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155BBD" w:rsidRPr="00885503" w14:paraId="5023A968" w14:textId="77777777" w:rsidTr="00F56971">
              <w:tc>
                <w:tcPr>
                  <w:tcW w:w="4473" w:type="dxa"/>
                </w:tcPr>
                <w:p w14:paraId="74100470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5873C5E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Leadership &amp; People Management</w:t>
                  </w:r>
                </w:p>
              </w:tc>
            </w:tr>
            <w:tr w:rsidR="00155BBD" w:rsidRPr="00885503" w14:paraId="6D56DD41" w14:textId="77777777" w:rsidTr="00F56971">
              <w:tc>
                <w:tcPr>
                  <w:tcW w:w="4473" w:type="dxa"/>
                </w:tcPr>
                <w:p w14:paraId="0326CAA9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02395AA3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Innovation and Change</w:t>
                  </w:r>
                </w:p>
              </w:tc>
            </w:tr>
            <w:tr w:rsidR="00155BBD" w:rsidRPr="00885503" w14:paraId="49F6993A" w14:textId="77777777" w:rsidTr="00F56971">
              <w:trPr>
                <w:trHeight w:val="70"/>
              </w:trPr>
              <w:tc>
                <w:tcPr>
                  <w:tcW w:w="4473" w:type="dxa"/>
                </w:tcPr>
                <w:p w14:paraId="387306BD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2FD643DF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Business Consulting</w:t>
                  </w:r>
                </w:p>
              </w:tc>
            </w:tr>
            <w:tr w:rsidR="00155BBD" w:rsidRPr="00885503" w14:paraId="2AFF9FC3" w14:textId="77777777" w:rsidTr="00F56971">
              <w:tc>
                <w:tcPr>
                  <w:tcW w:w="4473" w:type="dxa"/>
                </w:tcPr>
                <w:p w14:paraId="14613066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6F8A62DD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HR Service Delivery</w:t>
                  </w:r>
                </w:p>
              </w:tc>
            </w:tr>
            <w:tr w:rsidR="00155BBD" w:rsidRPr="00885503" w14:paraId="0E3B8506" w14:textId="77777777" w:rsidTr="00F56971">
              <w:tc>
                <w:tcPr>
                  <w:tcW w:w="4473" w:type="dxa"/>
                </w:tcPr>
                <w:p w14:paraId="2BA0CFD6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53520FF8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uto"/>
                      <w:szCs w:val="20"/>
                    </w:rPr>
                  </w:pPr>
                </w:p>
              </w:tc>
            </w:tr>
            <w:tr w:rsidR="00155BBD" w:rsidRPr="00885503" w14:paraId="39492C64" w14:textId="77777777" w:rsidTr="00F56971">
              <w:tc>
                <w:tcPr>
                  <w:tcW w:w="4473" w:type="dxa"/>
                </w:tcPr>
                <w:p w14:paraId="1C6AE82F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rPr>
                      <w:rFonts w:eastAsia="Times New Roman"/>
                      <w:color w:val="auto"/>
                      <w:szCs w:val="20"/>
                    </w:rPr>
                  </w:pPr>
                  <w:r w:rsidRPr="00885503">
                    <w:rPr>
                      <w:rFonts w:eastAsia="Times New Roman"/>
                      <w:color w:val="auto"/>
                      <w:szCs w:val="20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4C5A24F8" w14:textId="77777777" w:rsidR="00155BBD" w:rsidRPr="00885503" w:rsidRDefault="00155BBD" w:rsidP="004130A0">
                  <w:pPr>
                    <w:pStyle w:val="Puces4"/>
                    <w:framePr w:hSpace="180" w:wrap="around" w:vAnchor="text" w:hAnchor="margin" w:xAlign="center" w:y="61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uto"/>
                      <w:szCs w:val="20"/>
                    </w:rPr>
                  </w:pPr>
                </w:p>
              </w:tc>
            </w:tr>
          </w:tbl>
          <w:p w14:paraId="4738BA31" w14:textId="77777777" w:rsidR="00155BBD" w:rsidRPr="00885503" w:rsidRDefault="00155BBD" w:rsidP="00155BBD">
            <w:pPr>
              <w:spacing w:before="40"/>
              <w:ind w:left="72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9B392AC" w14:textId="77777777" w:rsidR="00C81814" w:rsidRPr="00885503" w:rsidRDefault="00C81814" w:rsidP="00635D62">
      <w:pPr>
        <w:spacing w:after="200" w:line="276" w:lineRule="auto"/>
        <w:jc w:val="left"/>
        <w:rPr>
          <w:rFonts w:cs="Arial"/>
          <w:b/>
          <w:sz w:val="20"/>
          <w:szCs w:val="20"/>
        </w:rPr>
      </w:pPr>
    </w:p>
    <w:p w14:paraId="548F6227" w14:textId="77777777" w:rsidR="00364515" w:rsidRPr="00885503" w:rsidRDefault="00364515" w:rsidP="00635D62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  <w:szCs w:val="20"/>
        </w:rPr>
      </w:pPr>
    </w:p>
    <w:sectPr w:rsidR="00364515" w:rsidRPr="00885503" w:rsidSect="00FA535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80C0" w14:textId="77777777" w:rsidR="008A3EA1" w:rsidRDefault="008A3EA1" w:rsidP="00FB53BC">
      <w:r>
        <w:separator/>
      </w:r>
    </w:p>
  </w:endnote>
  <w:endnote w:type="continuationSeparator" w:id="0">
    <w:p w14:paraId="1BE4ED91" w14:textId="77777777" w:rsidR="008A3EA1" w:rsidRDefault="008A3EA1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9B0D" w14:textId="41F1F059" w:rsidR="00665F33" w:rsidRPr="00312C92" w:rsidRDefault="00A35058">
    <w:pPr>
      <w:pStyle w:val="Footer"/>
      <w:rPr>
        <w:rFonts w:cs="Arial"/>
        <w:b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5A070D">
      <w:rPr>
        <w:rFonts w:cs="Arial"/>
        <w:b/>
        <w:sz w:val="16"/>
        <w:szCs w:val="16"/>
        <w:lang w:val="en-US"/>
      </w:rPr>
      <w:instrText xml:space="preserve"> </w:instrText>
    </w:r>
    <w:r w:rsidR="001E0062" w:rsidRPr="005A070D">
      <w:rPr>
        <w:rFonts w:cs="Arial"/>
        <w:b/>
        <w:sz w:val="16"/>
        <w:szCs w:val="16"/>
        <w:lang w:val="en-US"/>
      </w:rPr>
      <w:instrText>PAGE</w:instrText>
    </w:r>
    <w:r w:rsidR="00665F33" w:rsidRPr="005A070D">
      <w:rPr>
        <w:rFonts w:cs="Arial"/>
        <w:b/>
        <w:sz w:val="16"/>
        <w:szCs w:val="16"/>
        <w:lang w:val="en-US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1B7137">
      <w:rPr>
        <w:rFonts w:cs="Arial"/>
        <w:b/>
        <w:noProof/>
        <w:sz w:val="16"/>
        <w:szCs w:val="16"/>
        <w:lang w:val="en-US"/>
      </w:rPr>
      <w:t>3</w:t>
    </w:r>
    <w:r w:rsidRPr="00CB72F1">
      <w:rPr>
        <w:rFonts w:cs="Arial"/>
        <w:b/>
        <w:sz w:val="16"/>
        <w:szCs w:val="16"/>
      </w:rPr>
      <w:fldChar w:fldCharType="end"/>
    </w:r>
    <w:r w:rsidR="00665F33"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1B7137" w:rsidRPr="001B7137">
        <w:rPr>
          <w:rFonts w:cs="Arial"/>
          <w:b/>
          <w:noProof/>
          <w:sz w:val="16"/>
          <w:szCs w:val="16"/>
          <w:lang w:val="en-US"/>
        </w:rPr>
        <w:t>3</w:t>
      </w:r>
    </w:fldSimple>
    <w:r w:rsidR="0035777F">
      <w:rPr>
        <w:rFonts w:cs="Arial"/>
        <w:b/>
        <w:sz w:val="16"/>
        <w:szCs w:val="16"/>
        <w:lang w:val="en-US"/>
      </w:rPr>
      <w:t xml:space="preserve"> –</w:t>
    </w:r>
    <w:r w:rsidR="00D90024">
      <w:rPr>
        <w:rFonts w:cs="Arial"/>
        <w:b/>
        <w:sz w:val="16"/>
        <w:szCs w:val="16"/>
        <w:lang w:val="en-US"/>
      </w:rPr>
      <w:t xml:space="preserve"> </w:t>
    </w:r>
    <w:r w:rsidR="00D01F70">
      <w:rPr>
        <w:rFonts w:cs="Arial"/>
        <w:b/>
        <w:sz w:val="16"/>
        <w:szCs w:val="16"/>
        <w:lang w:val="en-US"/>
      </w:rPr>
      <w:t>Head of Operations (IFM)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E292" w14:textId="2FD0E99C" w:rsidR="008E340C" w:rsidRPr="008E340C" w:rsidRDefault="00A35058">
    <w:pPr>
      <w:pStyle w:val="Footer"/>
      <w:rPr>
        <w:rFonts w:cs="Arial"/>
        <w:b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1B7137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>/</w:t>
    </w:r>
    <w:fldSimple w:instr=" NUMPAGES  \* MERGEFORMAT ">
      <w:r w:rsidR="001B7137" w:rsidRPr="001B7137">
        <w:rPr>
          <w:rFonts w:cs="Arial"/>
          <w:b/>
          <w:noProof/>
          <w:sz w:val="16"/>
          <w:szCs w:val="16"/>
        </w:rPr>
        <w:t>3</w:t>
      </w:r>
    </w:fldSimple>
    <w:r w:rsidR="00665F33" w:rsidRPr="00CB72F1">
      <w:rPr>
        <w:rFonts w:cs="Arial"/>
        <w:b/>
        <w:sz w:val="16"/>
        <w:szCs w:val="16"/>
      </w:rPr>
      <w:t xml:space="preserve"> </w:t>
    </w:r>
    <w:r w:rsidR="0035777F">
      <w:rPr>
        <w:rFonts w:cs="Arial"/>
        <w:b/>
        <w:sz w:val="16"/>
        <w:szCs w:val="16"/>
      </w:rPr>
      <w:t>–</w:t>
    </w:r>
    <w:r w:rsidR="00665F33" w:rsidRPr="00CB72F1">
      <w:rPr>
        <w:rFonts w:cs="Arial"/>
        <w:b/>
        <w:sz w:val="16"/>
        <w:szCs w:val="16"/>
      </w:rPr>
      <w:t xml:space="preserve"> </w:t>
    </w:r>
    <w:r w:rsidR="00A82379" w:rsidRPr="00A82379">
      <w:rPr>
        <w:rFonts w:cs="Arial"/>
        <w:b/>
        <w:sz w:val="16"/>
        <w:szCs w:val="16"/>
        <w:lang w:val="en-US"/>
      </w:rPr>
      <w:t>Head of Operations – Integrated Facilities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E4D3" w14:textId="77777777" w:rsidR="008A3EA1" w:rsidRDefault="008A3EA1" w:rsidP="00FB53BC">
      <w:r>
        <w:separator/>
      </w:r>
    </w:p>
  </w:footnote>
  <w:footnote w:type="continuationSeparator" w:id="0">
    <w:p w14:paraId="0BB52B2E" w14:textId="77777777" w:rsidR="008A3EA1" w:rsidRDefault="008A3EA1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9A8B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B41704" wp14:editId="35E3D530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1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8FB2D8" w14:textId="77777777" w:rsidR="00665F33" w:rsidRDefault="00665F33">
    <w:pPr>
      <w:pStyle w:val="Header"/>
    </w:pPr>
  </w:p>
  <w:p w14:paraId="2DCCD4F9" w14:textId="77777777" w:rsidR="00967E7B" w:rsidRDefault="00967E7B">
    <w:pPr>
      <w:pStyle w:val="Header"/>
    </w:pPr>
  </w:p>
  <w:p w14:paraId="26131965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F6CC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0765906" wp14:editId="5741F2B3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15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808ADB9" wp14:editId="1FFD5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6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32DC0B" wp14:editId="1B30750E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7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carre-rouge"/>
      </v:shape>
    </w:pict>
  </w:numPicBullet>
  <w:abstractNum w:abstractNumId="0" w15:restartNumberingAfterBreak="0">
    <w:nsid w:val="00D75A55"/>
    <w:multiLevelType w:val="multilevel"/>
    <w:tmpl w:val="771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30943"/>
    <w:multiLevelType w:val="hybridMultilevel"/>
    <w:tmpl w:val="09401C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F62520"/>
    <w:multiLevelType w:val="hybridMultilevel"/>
    <w:tmpl w:val="0E5A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C6F"/>
    <w:multiLevelType w:val="multilevel"/>
    <w:tmpl w:val="6FB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721A4"/>
    <w:multiLevelType w:val="hybridMultilevel"/>
    <w:tmpl w:val="8C88BE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E3CF0"/>
    <w:multiLevelType w:val="multilevel"/>
    <w:tmpl w:val="0FF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B39EA"/>
    <w:multiLevelType w:val="multilevel"/>
    <w:tmpl w:val="F86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65FA5"/>
    <w:multiLevelType w:val="multilevel"/>
    <w:tmpl w:val="262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40970"/>
    <w:multiLevelType w:val="hybridMultilevel"/>
    <w:tmpl w:val="58E838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D0499"/>
    <w:multiLevelType w:val="hybridMultilevel"/>
    <w:tmpl w:val="426C991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A608E6"/>
    <w:multiLevelType w:val="hybridMultilevel"/>
    <w:tmpl w:val="C092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96FC5"/>
    <w:multiLevelType w:val="hybridMultilevel"/>
    <w:tmpl w:val="4852E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2444"/>
    <w:multiLevelType w:val="hybridMultilevel"/>
    <w:tmpl w:val="F586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CF"/>
    <w:multiLevelType w:val="hybridMultilevel"/>
    <w:tmpl w:val="FF3AE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0BD8"/>
    <w:multiLevelType w:val="hybridMultilevel"/>
    <w:tmpl w:val="403C962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C0B14"/>
    <w:multiLevelType w:val="multilevel"/>
    <w:tmpl w:val="5AA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24182"/>
    <w:multiLevelType w:val="multilevel"/>
    <w:tmpl w:val="BA9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152187"/>
    <w:multiLevelType w:val="hybridMultilevel"/>
    <w:tmpl w:val="19541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7880FE8"/>
    <w:multiLevelType w:val="hybridMultilevel"/>
    <w:tmpl w:val="CBFAE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C53E2E"/>
    <w:multiLevelType w:val="hybridMultilevel"/>
    <w:tmpl w:val="72B4D8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329C7"/>
    <w:multiLevelType w:val="hybridMultilevel"/>
    <w:tmpl w:val="05C0E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07781"/>
    <w:multiLevelType w:val="hybridMultilevel"/>
    <w:tmpl w:val="CE34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24BA4"/>
    <w:multiLevelType w:val="hybridMultilevel"/>
    <w:tmpl w:val="144633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 w15:restartNumberingAfterBreak="0">
    <w:nsid w:val="56B5380C"/>
    <w:multiLevelType w:val="multilevel"/>
    <w:tmpl w:val="D5A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9719F"/>
    <w:multiLevelType w:val="multilevel"/>
    <w:tmpl w:val="478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1D63CF"/>
    <w:multiLevelType w:val="multilevel"/>
    <w:tmpl w:val="ADC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E01CC"/>
    <w:multiLevelType w:val="multilevel"/>
    <w:tmpl w:val="52C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D5DA3"/>
    <w:multiLevelType w:val="hybridMultilevel"/>
    <w:tmpl w:val="0C7A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C5205"/>
    <w:multiLevelType w:val="hybridMultilevel"/>
    <w:tmpl w:val="82C8CD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10432"/>
    <w:multiLevelType w:val="multilevel"/>
    <w:tmpl w:val="620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44476"/>
    <w:multiLevelType w:val="hybridMultilevel"/>
    <w:tmpl w:val="F01604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D567A"/>
    <w:multiLevelType w:val="hybridMultilevel"/>
    <w:tmpl w:val="5C2A4D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744D14"/>
    <w:multiLevelType w:val="hybridMultilevel"/>
    <w:tmpl w:val="7474F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40136"/>
    <w:multiLevelType w:val="hybridMultilevel"/>
    <w:tmpl w:val="32BE001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A51A18"/>
    <w:multiLevelType w:val="hybridMultilevel"/>
    <w:tmpl w:val="C9A431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E71193"/>
    <w:multiLevelType w:val="hybridMultilevel"/>
    <w:tmpl w:val="450C2E0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364897"/>
    <w:multiLevelType w:val="multilevel"/>
    <w:tmpl w:val="2F8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735A0C"/>
    <w:multiLevelType w:val="multilevel"/>
    <w:tmpl w:val="69E8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4FD"/>
    <w:multiLevelType w:val="hybridMultilevel"/>
    <w:tmpl w:val="29841D6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917540"/>
    <w:multiLevelType w:val="hybridMultilevel"/>
    <w:tmpl w:val="E0664402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B024CD6E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B52DC"/>
    <w:multiLevelType w:val="multilevel"/>
    <w:tmpl w:val="16B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F6F17"/>
    <w:multiLevelType w:val="hybridMultilevel"/>
    <w:tmpl w:val="2A8A5C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BA24A3"/>
    <w:multiLevelType w:val="hybridMultilevel"/>
    <w:tmpl w:val="88E2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3692">
    <w:abstractNumId w:val="20"/>
  </w:num>
  <w:num w:numId="2" w16cid:durableId="1838501238">
    <w:abstractNumId w:val="26"/>
  </w:num>
  <w:num w:numId="3" w16cid:durableId="239558363">
    <w:abstractNumId w:val="2"/>
  </w:num>
  <w:num w:numId="4" w16cid:durableId="808976699">
    <w:abstractNumId w:val="42"/>
  </w:num>
  <w:num w:numId="5" w16cid:durableId="678234024">
    <w:abstractNumId w:val="19"/>
  </w:num>
  <w:num w:numId="6" w16cid:durableId="1393773950">
    <w:abstractNumId w:val="21"/>
  </w:num>
  <w:num w:numId="7" w16cid:durableId="294338468">
    <w:abstractNumId w:val="22"/>
  </w:num>
  <w:num w:numId="8" w16cid:durableId="1241984795">
    <w:abstractNumId w:val="1"/>
  </w:num>
  <w:num w:numId="9" w16cid:durableId="875967478">
    <w:abstractNumId w:val="43"/>
  </w:num>
  <w:num w:numId="10" w16cid:durableId="1745179826">
    <w:abstractNumId w:val="10"/>
  </w:num>
  <w:num w:numId="11" w16cid:durableId="650672748">
    <w:abstractNumId w:val="9"/>
  </w:num>
  <w:num w:numId="12" w16cid:durableId="647367061">
    <w:abstractNumId w:val="32"/>
  </w:num>
  <w:num w:numId="13" w16cid:durableId="848182465">
    <w:abstractNumId w:val="5"/>
  </w:num>
  <w:num w:numId="14" w16cid:durableId="375471466">
    <w:abstractNumId w:val="37"/>
  </w:num>
  <w:num w:numId="15" w16cid:durableId="1105690496">
    <w:abstractNumId w:val="34"/>
  </w:num>
  <w:num w:numId="16" w16cid:durableId="1916013051">
    <w:abstractNumId w:val="25"/>
  </w:num>
  <w:num w:numId="17" w16cid:durableId="978653710">
    <w:abstractNumId w:val="38"/>
  </w:num>
  <w:num w:numId="18" w16cid:durableId="1208835555">
    <w:abstractNumId w:val="15"/>
  </w:num>
  <w:num w:numId="19" w16cid:durableId="839006135">
    <w:abstractNumId w:val="35"/>
  </w:num>
  <w:num w:numId="20" w16cid:durableId="343477057">
    <w:abstractNumId w:val="46"/>
  </w:num>
  <w:num w:numId="21" w16cid:durableId="467211998">
    <w:abstractNumId w:val="18"/>
  </w:num>
  <w:num w:numId="22" w16cid:durableId="846216912">
    <w:abstractNumId w:val="39"/>
  </w:num>
  <w:num w:numId="23" w16cid:durableId="296685885">
    <w:abstractNumId w:val="36"/>
  </w:num>
  <w:num w:numId="24" w16cid:durableId="2114546821">
    <w:abstractNumId w:val="14"/>
  </w:num>
  <w:num w:numId="25" w16cid:durableId="898899557">
    <w:abstractNumId w:val="31"/>
  </w:num>
  <w:num w:numId="26" w16cid:durableId="846795097">
    <w:abstractNumId w:val="11"/>
  </w:num>
  <w:num w:numId="27" w16cid:durableId="1829131033">
    <w:abstractNumId w:val="23"/>
  </w:num>
  <w:num w:numId="28" w16cid:durableId="7759950">
    <w:abstractNumId w:val="12"/>
  </w:num>
  <w:num w:numId="29" w16cid:durableId="2125075334">
    <w:abstractNumId w:val="29"/>
  </w:num>
  <w:num w:numId="30" w16cid:durableId="1658803062">
    <w:abstractNumId w:val="44"/>
  </w:num>
  <w:num w:numId="31" w16cid:durableId="1333142849">
    <w:abstractNumId w:val="13"/>
  </w:num>
  <w:num w:numId="32" w16cid:durableId="1519346601">
    <w:abstractNumId w:val="3"/>
  </w:num>
  <w:num w:numId="33" w16cid:durableId="492183373">
    <w:abstractNumId w:val="24"/>
  </w:num>
  <w:num w:numId="34" w16cid:durableId="886911404">
    <w:abstractNumId w:val="8"/>
  </w:num>
  <w:num w:numId="35" w16cid:durableId="154155110">
    <w:abstractNumId w:val="27"/>
  </w:num>
  <w:num w:numId="36" w16cid:durableId="1124731847">
    <w:abstractNumId w:val="33"/>
  </w:num>
  <w:num w:numId="37" w16cid:durableId="348487017">
    <w:abstractNumId w:val="7"/>
  </w:num>
  <w:num w:numId="38" w16cid:durableId="2069961156">
    <w:abstractNumId w:val="0"/>
  </w:num>
  <w:num w:numId="39" w16cid:durableId="1041248060">
    <w:abstractNumId w:val="4"/>
  </w:num>
  <w:num w:numId="40" w16cid:durableId="1506553120">
    <w:abstractNumId w:val="30"/>
  </w:num>
  <w:num w:numId="41" w16cid:durableId="1059983012">
    <w:abstractNumId w:val="45"/>
  </w:num>
  <w:num w:numId="42" w16cid:durableId="278411221">
    <w:abstractNumId w:val="28"/>
  </w:num>
  <w:num w:numId="43" w16cid:durableId="1086070865">
    <w:abstractNumId w:val="17"/>
  </w:num>
  <w:num w:numId="44" w16cid:durableId="769620308">
    <w:abstractNumId w:val="6"/>
  </w:num>
  <w:num w:numId="45" w16cid:durableId="586967258">
    <w:abstractNumId w:val="40"/>
  </w:num>
  <w:num w:numId="46" w16cid:durableId="1437670881">
    <w:abstractNumId w:val="16"/>
  </w:num>
  <w:num w:numId="47" w16cid:durableId="1739788413">
    <w:abstractNumId w:val="41"/>
  </w:num>
  <w:num w:numId="48" w16cid:durableId="741178646">
    <w:abstractNumId w:val="4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06AA8"/>
    <w:rsid w:val="00020121"/>
    <w:rsid w:val="00031E33"/>
    <w:rsid w:val="000351C5"/>
    <w:rsid w:val="00037809"/>
    <w:rsid w:val="00044F80"/>
    <w:rsid w:val="00052C71"/>
    <w:rsid w:val="00060BC4"/>
    <w:rsid w:val="00073E78"/>
    <w:rsid w:val="00083317"/>
    <w:rsid w:val="000B6332"/>
    <w:rsid w:val="000C181F"/>
    <w:rsid w:val="000C3CE8"/>
    <w:rsid w:val="000C50B8"/>
    <w:rsid w:val="000D1E6C"/>
    <w:rsid w:val="000D3023"/>
    <w:rsid w:val="000E06E7"/>
    <w:rsid w:val="000F1E9E"/>
    <w:rsid w:val="000F47A3"/>
    <w:rsid w:val="00103E81"/>
    <w:rsid w:val="001149FD"/>
    <w:rsid w:val="00115A95"/>
    <w:rsid w:val="00140F65"/>
    <w:rsid w:val="00147CED"/>
    <w:rsid w:val="00153B28"/>
    <w:rsid w:val="00155BBD"/>
    <w:rsid w:val="00162433"/>
    <w:rsid w:val="0016470F"/>
    <w:rsid w:val="00191BA3"/>
    <w:rsid w:val="001930F5"/>
    <w:rsid w:val="001B7137"/>
    <w:rsid w:val="001C5D9A"/>
    <w:rsid w:val="001E0062"/>
    <w:rsid w:val="001F380B"/>
    <w:rsid w:val="001F4E04"/>
    <w:rsid w:val="0021407E"/>
    <w:rsid w:val="00225DBC"/>
    <w:rsid w:val="00235E2B"/>
    <w:rsid w:val="0024354E"/>
    <w:rsid w:val="00245B02"/>
    <w:rsid w:val="00254EFA"/>
    <w:rsid w:val="002616EA"/>
    <w:rsid w:val="002622F4"/>
    <w:rsid w:val="00284190"/>
    <w:rsid w:val="002856AB"/>
    <w:rsid w:val="00290C5C"/>
    <w:rsid w:val="002A037E"/>
    <w:rsid w:val="002A2AFC"/>
    <w:rsid w:val="002B1E2C"/>
    <w:rsid w:val="002B7F09"/>
    <w:rsid w:val="002C3ECE"/>
    <w:rsid w:val="002F1BBF"/>
    <w:rsid w:val="002F2E25"/>
    <w:rsid w:val="00301477"/>
    <w:rsid w:val="00312C92"/>
    <w:rsid w:val="00323491"/>
    <w:rsid w:val="003412C9"/>
    <w:rsid w:val="00346345"/>
    <w:rsid w:val="0035777F"/>
    <w:rsid w:val="00364515"/>
    <w:rsid w:val="00367F3E"/>
    <w:rsid w:val="00372C71"/>
    <w:rsid w:val="0038487C"/>
    <w:rsid w:val="003A43FE"/>
    <w:rsid w:val="003B0A01"/>
    <w:rsid w:val="003B1C94"/>
    <w:rsid w:val="003B5679"/>
    <w:rsid w:val="003B6EB8"/>
    <w:rsid w:val="003C1E6E"/>
    <w:rsid w:val="003E09EE"/>
    <w:rsid w:val="003F0415"/>
    <w:rsid w:val="003F50F0"/>
    <w:rsid w:val="004130A0"/>
    <w:rsid w:val="00413DEE"/>
    <w:rsid w:val="00414ADC"/>
    <w:rsid w:val="00417D83"/>
    <w:rsid w:val="004226E2"/>
    <w:rsid w:val="00422A89"/>
    <w:rsid w:val="00436F4A"/>
    <w:rsid w:val="00464403"/>
    <w:rsid w:val="00472830"/>
    <w:rsid w:val="004A2907"/>
    <w:rsid w:val="004B0BEF"/>
    <w:rsid w:val="004E1B50"/>
    <w:rsid w:val="004E41CE"/>
    <w:rsid w:val="004F4B4F"/>
    <w:rsid w:val="004F4D22"/>
    <w:rsid w:val="00502807"/>
    <w:rsid w:val="00503B11"/>
    <w:rsid w:val="00507BAD"/>
    <w:rsid w:val="005261B7"/>
    <w:rsid w:val="00543DF2"/>
    <w:rsid w:val="00564BD8"/>
    <w:rsid w:val="0058107D"/>
    <w:rsid w:val="00582F9E"/>
    <w:rsid w:val="0058642F"/>
    <w:rsid w:val="00593CCF"/>
    <w:rsid w:val="005A070D"/>
    <w:rsid w:val="005A3EC8"/>
    <w:rsid w:val="005C4006"/>
    <w:rsid w:val="005D4DD0"/>
    <w:rsid w:val="005E2D7F"/>
    <w:rsid w:val="005F3713"/>
    <w:rsid w:val="006045BD"/>
    <w:rsid w:val="00605E44"/>
    <w:rsid w:val="00611B27"/>
    <w:rsid w:val="00622063"/>
    <w:rsid w:val="00635D62"/>
    <w:rsid w:val="00652BE0"/>
    <w:rsid w:val="00652E81"/>
    <w:rsid w:val="00665F33"/>
    <w:rsid w:val="00675F2D"/>
    <w:rsid w:val="006A00FB"/>
    <w:rsid w:val="006C179C"/>
    <w:rsid w:val="006C34DF"/>
    <w:rsid w:val="006D1368"/>
    <w:rsid w:val="006D54E0"/>
    <w:rsid w:val="006E635C"/>
    <w:rsid w:val="006F1F01"/>
    <w:rsid w:val="00706EB3"/>
    <w:rsid w:val="00710519"/>
    <w:rsid w:val="00711534"/>
    <w:rsid w:val="0072168B"/>
    <w:rsid w:val="007333DC"/>
    <w:rsid w:val="00737CC5"/>
    <w:rsid w:val="007620A4"/>
    <w:rsid w:val="00786AB1"/>
    <w:rsid w:val="0079004E"/>
    <w:rsid w:val="00795708"/>
    <w:rsid w:val="007A6021"/>
    <w:rsid w:val="007A6DD3"/>
    <w:rsid w:val="007C0D44"/>
    <w:rsid w:val="007D0A65"/>
    <w:rsid w:val="007D0AF1"/>
    <w:rsid w:val="008002BF"/>
    <w:rsid w:val="00827A29"/>
    <w:rsid w:val="00833842"/>
    <w:rsid w:val="00846437"/>
    <w:rsid w:val="008650D0"/>
    <w:rsid w:val="0086679D"/>
    <w:rsid w:val="00885503"/>
    <w:rsid w:val="00886DE1"/>
    <w:rsid w:val="00890FC2"/>
    <w:rsid w:val="0089238A"/>
    <w:rsid w:val="008978A8"/>
    <w:rsid w:val="008A0F48"/>
    <w:rsid w:val="008A3EA1"/>
    <w:rsid w:val="008B4A72"/>
    <w:rsid w:val="008B618D"/>
    <w:rsid w:val="008C257C"/>
    <w:rsid w:val="008C47D2"/>
    <w:rsid w:val="008C4EB3"/>
    <w:rsid w:val="008C7716"/>
    <w:rsid w:val="008D4A7A"/>
    <w:rsid w:val="008E340C"/>
    <w:rsid w:val="008F00A1"/>
    <w:rsid w:val="008F5749"/>
    <w:rsid w:val="00907B71"/>
    <w:rsid w:val="00912A19"/>
    <w:rsid w:val="00923F05"/>
    <w:rsid w:val="00926B8B"/>
    <w:rsid w:val="00931AED"/>
    <w:rsid w:val="00940DDC"/>
    <w:rsid w:val="00961A87"/>
    <w:rsid w:val="00967E7B"/>
    <w:rsid w:val="009B6E0B"/>
    <w:rsid w:val="009C2C1A"/>
    <w:rsid w:val="009D0667"/>
    <w:rsid w:val="009D170B"/>
    <w:rsid w:val="009F022F"/>
    <w:rsid w:val="00A0719B"/>
    <w:rsid w:val="00A07438"/>
    <w:rsid w:val="00A35058"/>
    <w:rsid w:val="00A37247"/>
    <w:rsid w:val="00A44108"/>
    <w:rsid w:val="00A62D4A"/>
    <w:rsid w:val="00A82379"/>
    <w:rsid w:val="00AA01D0"/>
    <w:rsid w:val="00AA18BC"/>
    <w:rsid w:val="00AB22F8"/>
    <w:rsid w:val="00AE15E4"/>
    <w:rsid w:val="00B000DC"/>
    <w:rsid w:val="00B12411"/>
    <w:rsid w:val="00B12903"/>
    <w:rsid w:val="00B144F0"/>
    <w:rsid w:val="00B16905"/>
    <w:rsid w:val="00B17628"/>
    <w:rsid w:val="00B20484"/>
    <w:rsid w:val="00B3503C"/>
    <w:rsid w:val="00B52EA8"/>
    <w:rsid w:val="00B53FE0"/>
    <w:rsid w:val="00B57F39"/>
    <w:rsid w:val="00B600C5"/>
    <w:rsid w:val="00B71AE3"/>
    <w:rsid w:val="00B732F1"/>
    <w:rsid w:val="00B85D55"/>
    <w:rsid w:val="00B94171"/>
    <w:rsid w:val="00B973DF"/>
    <w:rsid w:val="00BA0DE0"/>
    <w:rsid w:val="00BA207A"/>
    <w:rsid w:val="00BA263D"/>
    <w:rsid w:val="00BA5D2A"/>
    <w:rsid w:val="00BB0255"/>
    <w:rsid w:val="00BE01D9"/>
    <w:rsid w:val="00BE36E2"/>
    <w:rsid w:val="00BE7CCD"/>
    <w:rsid w:val="00C07FD2"/>
    <w:rsid w:val="00C21648"/>
    <w:rsid w:val="00C244F7"/>
    <w:rsid w:val="00C41816"/>
    <w:rsid w:val="00C42C72"/>
    <w:rsid w:val="00C42F56"/>
    <w:rsid w:val="00C510F7"/>
    <w:rsid w:val="00C551C1"/>
    <w:rsid w:val="00C81814"/>
    <w:rsid w:val="00CA10C7"/>
    <w:rsid w:val="00CA1537"/>
    <w:rsid w:val="00CB25A9"/>
    <w:rsid w:val="00CB72F1"/>
    <w:rsid w:val="00CE7190"/>
    <w:rsid w:val="00D01F70"/>
    <w:rsid w:val="00D1087C"/>
    <w:rsid w:val="00D1287A"/>
    <w:rsid w:val="00D21CD0"/>
    <w:rsid w:val="00D26EC0"/>
    <w:rsid w:val="00D3330D"/>
    <w:rsid w:val="00D439D2"/>
    <w:rsid w:val="00D45E70"/>
    <w:rsid w:val="00D522F1"/>
    <w:rsid w:val="00D549C8"/>
    <w:rsid w:val="00D62A1A"/>
    <w:rsid w:val="00D67074"/>
    <w:rsid w:val="00D67470"/>
    <w:rsid w:val="00D74397"/>
    <w:rsid w:val="00D76223"/>
    <w:rsid w:val="00D8318D"/>
    <w:rsid w:val="00D90024"/>
    <w:rsid w:val="00DB1CF8"/>
    <w:rsid w:val="00DB1F5D"/>
    <w:rsid w:val="00DC1A65"/>
    <w:rsid w:val="00DF3589"/>
    <w:rsid w:val="00E0327A"/>
    <w:rsid w:val="00E03341"/>
    <w:rsid w:val="00E242DF"/>
    <w:rsid w:val="00E3213C"/>
    <w:rsid w:val="00E34556"/>
    <w:rsid w:val="00E42BA4"/>
    <w:rsid w:val="00E50971"/>
    <w:rsid w:val="00E766C3"/>
    <w:rsid w:val="00EB0C5C"/>
    <w:rsid w:val="00EB7437"/>
    <w:rsid w:val="00EC518E"/>
    <w:rsid w:val="00EC6E55"/>
    <w:rsid w:val="00ED456A"/>
    <w:rsid w:val="00EE01FB"/>
    <w:rsid w:val="00EE47F3"/>
    <w:rsid w:val="00EF78E8"/>
    <w:rsid w:val="00F15E8A"/>
    <w:rsid w:val="00F1721A"/>
    <w:rsid w:val="00F250F6"/>
    <w:rsid w:val="00F34CC1"/>
    <w:rsid w:val="00F54179"/>
    <w:rsid w:val="00F81625"/>
    <w:rsid w:val="00FA535E"/>
    <w:rsid w:val="00FB53BC"/>
    <w:rsid w:val="00FB5521"/>
    <w:rsid w:val="00FB6B6E"/>
    <w:rsid w:val="00FB6BF0"/>
    <w:rsid w:val="00FC10AB"/>
    <w:rsid w:val="00FC5244"/>
    <w:rsid w:val="00FE17A5"/>
    <w:rsid w:val="00FE1C59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8A52B"/>
  <w15:docId w15:val="{F6F30BD0-9ABA-4003-AD39-BDA17CF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34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body">
    <w:name w:val="body"/>
    <w:rsid w:val="00AE15E4"/>
    <w:pPr>
      <w:spacing w:before="60" w:line="200" w:lineRule="atLeast"/>
      <w:ind w:left="1276" w:right="68"/>
    </w:pPr>
    <w:rPr>
      <w:rFonts w:ascii="Arial" w:eastAsia="Times New Roman" w:hAnsi="Arial"/>
      <w:noProof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33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733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3368D-A1D9-440A-95F0-57ED4294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CA7DF-321E-4629-8975-E2555C91C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  <ds:schemaRef ds:uri="71f06252-c02b-4d48-b841-46db7d6eb17f"/>
    <ds:schemaRef ds:uri="805c9006-41ab-4d20-a782-794274708dc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Carson, Lynn</cp:lastModifiedBy>
  <cp:revision>2</cp:revision>
  <cp:lastPrinted>2019-06-16T17:00:00Z</cp:lastPrinted>
  <dcterms:created xsi:type="dcterms:W3CDTF">2025-09-08T11:56:00Z</dcterms:created>
  <dcterms:modified xsi:type="dcterms:W3CDTF">2025-09-08T11:56:00Z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0x0101008DACE98361CF25468862B881D0866E77</vt:lpwstr>
  </property>
  <property fmtid="{D5CDD505-2E9C-101B-9397-08002B2CF9AE}" pid="3" name="MSIP_Label_a7c77bae-9cad-4b1a-aac3-2a4ad557d70b_Enabled">
    <vt:lpwstr>true</vt:lpwstr>
  </property>
  <property fmtid="{D5CDD505-2E9C-101B-9397-08002B2CF9AE}" pid="4" name="MSIP_Label_a7c77bae-9cad-4b1a-aac3-2a4ad557d70b_SetDate">
    <vt:lpwstr>2023-09-24T19:30:16Z</vt:lpwstr>
  </property>
  <property fmtid="{D5CDD505-2E9C-101B-9397-08002B2CF9AE}" pid="5" name="MSIP_Label_a7c77bae-9cad-4b1a-aac3-2a4ad557d70b_Method">
    <vt:lpwstr>Privileged</vt:lpwstr>
  </property>
  <property fmtid="{D5CDD505-2E9C-101B-9397-08002B2CF9AE}" pid="6" name="MSIP_Label_a7c77bae-9cad-4b1a-aac3-2a4ad557d70b_Name">
    <vt:lpwstr>General</vt:lpwstr>
  </property>
  <property fmtid="{D5CDD505-2E9C-101B-9397-08002B2CF9AE}" pid="7" name="MSIP_Label_a7c77bae-9cad-4b1a-aac3-2a4ad557d70b_SiteId">
    <vt:lpwstr>88ed286b-88d8-4faf-918f-883d693321ae</vt:lpwstr>
  </property>
  <property fmtid="{D5CDD505-2E9C-101B-9397-08002B2CF9AE}" pid="8" name="MSIP_Label_a7c77bae-9cad-4b1a-aac3-2a4ad557d70b_ActionId">
    <vt:lpwstr>c513764d-2327-43f5-87f7-83202a8a8093</vt:lpwstr>
  </property>
  <property fmtid="{D5CDD505-2E9C-101B-9397-08002B2CF9AE}" pid="9" name="MSIP_Label_a7c77bae-9cad-4b1a-aac3-2a4ad557d70b_ContentBits">
    <vt:lpwstr>0</vt:lpwstr>
  </property>
</Properties>
</file>