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01D3" w14:textId="642F921D" w:rsidR="000434B5" w:rsidRPr="000434B5" w:rsidRDefault="00253AC3" w:rsidP="000434B5">
      <w:pPr>
        <w:pStyle w:val="Default"/>
        <w:rPr>
          <w:b/>
          <w:bCs/>
          <w:color w:val="2A295C"/>
          <w:sz w:val="22"/>
          <w:szCs w:val="22"/>
        </w:rPr>
      </w:pPr>
      <w:r>
        <w:rPr>
          <w:b/>
          <w:bCs/>
          <w:color w:val="2A295C"/>
          <w:sz w:val="22"/>
          <w:szCs w:val="22"/>
        </w:rPr>
        <w:t xml:space="preserve">Head of Technical Services, Projects and Digital, Ireland </w:t>
      </w:r>
      <w:r w:rsidR="000434B5" w:rsidRPr="000434B5">
        <w:rPr>
          <w:b/>
          <w:bCs/>
          <w:color w:val="2A295C"/>
          <w:sz w:val="22"/>
          <w:szCs w:val="22"/>
        </w:rPr>
        <w:t>– Job Description</w:t>
      </w:r>
    </w:p>
    <w:p w14:paraId="6EE4DB7E" w14:textId="77777777" w:rsid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5FBFA65C" w14:textId="115E6F69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Role Purpose</w:t>
      </w:r>
    </w:p>
    <w:p w14:paraId="013D5C3E" w14:textId="77777777" w:rsidR="009E682F" w:rsidRDefault="000434B5" w:rsidP="000434B5">
      <w:pPr>
        <w:pStyle w:val="Default"/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The </w:t>
      </w:r>
      <w:r w:rsidR="00253AC3" w:rsidRPr="00253AC3">
        <w:rPr>
          <w:color w:val="2A295C"/>
          <w:sz w:val="22"/>
          <w:szCs w:val="22"/>
        </w:rPr>
        <w:t>Head of Technical Services, Projects and Digital</w:t>
      </w:r>
      <w:r w:rsidR="00253AC3">
        <w:rPr>
          <w:color w:val="2A295C"/>
          <w:sz w:val="22"/>
          <w:szCs w:val="22"/>
        </w:rPr>
        <w:t xml:space="preserve">, Ireland </w:t>
      </w:r>
      <w:r w:rsidRPr="000434B5">
        <w:rPr>
          <w:color w:val="2A295C"/>
          <w:sz w:val="22"/>
          <w:szCs w:val="22"/>
        </w:rPr>
        <w:t xml:space="preserve">will be the strategic lead for </w:t>
      </w:r>
      <w:r w:rsidR="00253AC3">
        <w:rPr>
          <w:color w:val="2A295C"/>
          <w:sz w:val="22"/>
          <w:szCs w:val="22"/>
        </w:rPr>
        <w:t xml:space="preserve">technical </w:t>
      </w:r>
      <w:r w:rsidRPr="000434B5">
        <w:rPr>
          <w:color w:val="2A295C"/>
          <w:sz w:val="22"/>
          <w:szCs w:val="22"/>
        </w:rPr>
        <w:t>facilities management services</w:t>
      </w:r>
      <w:r w:rsidR="00253AC3">
        <w:rPr>
          <w:color w:val="2A295C"/>
          <w:sz w:val="22"/>
          <w:szCs w:val="22"/>
        </w:rPr>
        <w:t xml:space="preserve"> and digital solutions and transformation</w:t>
      </w:r>
      <w:r w:rsidRPr="000434B5">
        <w:rPr>
          <w:color w:val="2A295C"/>
          <w:sz w:val="22"/>
          <w:szCs w:val="22"/>
        </w:rPr>
        <w:t xml:space="preserve"> across the island of Ireland. This role drives excellence across hard FM (statutory compliance, PPM and reactive works and projects), technology and digital</w:t>
      </w:r>
      <w:r w:rsidR="00253AC3">
        <w:rPr>
          <w:color w:val="2A295C"/>
          <w:sz w:val="22"/>
          <w:szCs w:val="22"/>
        </w:rPr>
        <w:t xml:space="preserve"> and data</w:t>
      </w:r>
      <w:r w:rsidRPr="000434B5">
        <w:rPr>
          <w:color w:val="2A295C"/>
          <w:sz w:val="22"/>
          <w:szCs w:val="22"/>
        </w:rPr>
        <w:t xml:space="preserve"> solutions</w:t>
      </w:r>
      <w:r w:rsidR="00253AC3">
        <w:rPr>
          <w:color w:val="2A295C"/>
          <w:sz w:val="22"/>
          <w:szCs w:val="22"/>
        </w:rPr>
        <w:t xml:space="preserve"> and</w:t>
      </w:r>
      <w:r w:rsidRPr="000434B5">
        <w:rPr>
          <w:color w:val="2A295C"/>
          <w:sz w:val="22"/>
          <w:szCs w:val="22"/>
        </w:rPr>
        <w:t xml:space="preserve"> sustainabilit</w:t>
      </w:r>
      <w:r w:rsidR="00253AC3">
        <w:rPr>
          <w:color w:val="2A295C"/>
          <w:sz w:val="22"/>
          <w:szCs w:val="22"/>
        </w:rPr>
        <w:t>y</w:t>
      </w:r>
      <w:r w:rsidRPr="000434B5">
        <w:rPr>
          <w:color w:val="2A295C"/>
          <w:sz w:val="22"/>
          <w:szCs w:val="22"/>
        </w:rPr>
        <w:t xml:space="preserve">. </w:t>
      </w:r>
    </w:p>
    <w:p w14:paraId="1D8A0E30" w14:textId="77777777" w:rsidR="009E682F" w:rsidRDefault="009E682F" w:rsidP="000434B5">
      <w:pPr>
        <w:pStyle w:val="Default"/>
        <w:rPr>
          <w:color w:val="2A295C"/>
          <w:sz w:val="22"/>
          <w:szCs w:val="22"/>
        </w:rPr>
      </w:pPr>
    </w:p>
    <w:p w14:paraId="00AC671C" w14:textId="44A064D3" w:rsidR="00253AC3" w:rsidRDefault="009E682F" w:rsidP="000434B5">
      <w:pPr>
        <w:pStyle w:val="Default"/>
        <w:rPr>
          <w:color w:val="2A295C"/>
          <w:sz w:val="22"/>
          <w:szCs w:val="22"/>
        </w:rPr>
      </w:pPr>
      <w:r>
        <w:rPr>
          <w:color w:val="2A295C"/>
          <w:sz w:val="22"/>
          <w:szCs w:val="22"/>
        </w:rPr>
        <w:t>The role holder will have an ability to create a legacy in excellence and transformation with a business which is continually growing and evolving. We need someone with a growth mindset, a curiosity to explore beyond the traditional day to day offer and an ability to turn concepts into reality – someone who will go for edge over ease.</w:t>
      </w:r>
    </w:p>
    <w:p w14:paraId="1BFC32FA" w14:textId="77777777" w:rsidR="00253AC3" w:rsidRDefault="00253AC3" w:rsidP="000434B5">
      <w:pPr>
        <w:pStyle w:val="Default"/>
        <w:rPr>
          <w:color w:val="2A295C"/>
          <w:sz w:val="22"/>
          <w:szCs w:val="22"/>
        </w:rPr>
      </w:pPr>
    </w:p>
    <w:p w14:paraId="565E05CA" w14:textId="0A86A391" w:rsidR="000434B5" w:rsidRDefault="00253AC3" w:rsidP="000434B5">
      <w:pPr>
        <w:pStyle w:val="Default"/>
        <w:rPr>
          <w:color w:val="2A295C"/>
          <w:sz w:val="22"/>
          <w:szCs w:val="22"/>
        </w:rPr>
      </w:pPr>
      <w:r>
        <w:rPr>
          <w:color w:val="2A295C"/>
          <w:sz w:val="22"/>
          <w:szCs w:val="22"/>
        </w:rPr>
        <w:t xml:space="preserve">Our operational teams are responsible for the day-to-day delivery, and this role acts as a trusted advisor to those operational teams (not as a reporting line) as well as to </w:t>
      </w:r>
      <w:r w:rsidR="000434B5" w:rsidRPr="000434B5">
        <w:rPr>
          <w:color w:val="2A295C"/>
          <w:sz w:val="22"/>
          <w:szCs w:val="22"/>
        </w:rPr>
        <w:t>clients and potential client</w:t>
      </w:r>
      <w:r>
        <w:rPr>
          <w:color w:val="2A295C"/>
          <w:sz w:val="22"/>
          <w:szCs w:val="22"/>
        </w:rPr>
        <w:t>s. T</w:t>
      </w:r>
      <w:r w:rsidR="000434B5" w:rsidRPr="000434B5">
        <w:rPr>
          <w:color w:val="2A295C"/>
          <w:sz w:val="22"/>
          <w:szCs w:val="22"/>
        </w:rPr>
        <w:t xml:space="preserve">he </w:t>
      </w:r>
      <w:r w:rsidRPr="00253AC3">
        <w:rPr>
          <w:color w:val="2A295C"/>
          <w:sz w:val="22"/>
          <w:szCs w:val="22"/>
        </w:rPr>
        <w:t xml:space="preserve">Head of Technical Services, Projects and Digital </w:t>
      </w:r>
      <w:r w:rsidR="000434B5" w:rsidRPr="000434B5">
        <w:rPr>
          <w:color w:val="2A295C"/>
          <w:sz w:val="22"/>
          <w:szCs w:val="22"/>
        </w:rPr>
        <w:t>ensures high-quality service, compliance, financial performance, and continuous improvement across FM</w:t>
      </w:r>
      <w:r>
        <w:rPr>
          <w:color w:val="2A295C"/>
          <w:sz w:val="22"/>
          <w:szCs w:val="22"/>
        </w:rPr>
        <w:t xml:space="preserve"> and digital</w:t>
      </w:r>
      <w:r w:rsidR="000434B5" w:rsidRPr="000434B5">
        <w:rPr>
          <w:color w:val="2A295C"/>
          <w:sz w:val="22"/>
          <w:szCs w:val="22"/>
        </w:rPr>
        <w:t xml:space="preserve"> operations.</w:t>
      </w:r>
    </w:p>
    <w:p w14:paraId="6B49FCD9" w14:textId="77777777" w:rsidR="009E682F" w:rsidRDefault="009E682F" w:rsidP="000434B5">
      <w:pPr>
        <w:pStyle w:val="Default"/>
        <w:rPr>
          <w:color w:val="2A295C"/>
          <w:sz w:val="22"/>
          <w:szCs w:val="22"/>
        </w:rPr>
      </w:pPr>
    </w:p>
    <w:p w14:paraId="19451CF4" w14:textId="48A46496" w:rsidR="009E682F" w:rsidRPr="000434B5" w:rsidRDefault="009E682F" w:rsidP="000434B5">
      <w:pPr>
        <w:pStyle w:val="Default"/>
        <w:rPr>
          <w:color w:val="2A295C"/>
          <w:sz w:val="22"/>
          <w:szCs w:val="22"/>
        </w:rPr>
      </w:pPr>
      <w:r>
        <w:rPr>
          <w:color w:val="2A295C"/>
          <w:sz w:val="22"/>
          <w:szCs w:val="22"/>
        </w:rPr>
        <w:t>This role holder will have technical services</w:t>
      </w:r>
      <w:r w:rsidR="003E4717">
        <w:rPr>
          <w:color w:val="2A295C"/>
          <w:sz w:val="22"/>
          <w:szCs w:val="22"/>
        </w:rPr>
        <w:t xml:space="preserve"> and system, </w:t>
      </w:r>
      <w:r>
        <w:rPr>
          <w:color w:val="2A295C"/>
          <w:sz w:val="22"/>
          <w:szCs w:val="22"/>
        </w:rPr>
        <w:t xml:space="preserve">data and digital experts within their team to </w:t>
      </w:r>
      <w:r w:rsidR="003E4717">
        <w:rPr>
          <w:color w:val="2A295C"/>
          <w:sz w:val="22"/>
          <w:szCs w:val="22"/>
        </w:rPr>
        <w:t>support compliance, solution design, operations, mobilisation and project delivery.</w:t>
      </w:r>
    </w:p>
    <w:p w14:paraId="1E131291" w14:textId="77777777" w:rsid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70110593" w14:textId="5CC5747F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Key Responsibilities</w:t>
      </w:r>
    </w:p>
    <w:p w14:paraId="33E94DCC" w14:textId="77777777" w:rsid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580FC785" w14:textId="5CBC03C4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Leadership &amp; Strategy</w:t>
      </w:r>
    </w:p>
    <w:p w14:paraId="7066218A" w14:textId="149ECDC4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Lead</w:t>
      </w:r>
      <w:r w:rsidRPr="000434B5">
        <w:rPr>
          <w:color w:val="2A295C"/>
          <w:sz w:val="22"/>
          <w:szCs w:val="22"/>
        </w:rPr>
        <w:t xml:space="preserve"> as </w:t>
      </w:r>
      <w:r w:rsidR="00253AC3">
        <w:rPr>
          <w:color w:val="2A295C"/>
          <w:sz w:val="22"/>
          <w:szCs w:val="22"/>
        </w:rPr>
        <w:t>a</w:t>
      </w:r>
      <w:r w:rsidRPr="000434B5">
        <w:rPr>
          <w:color w:val="2A295C"/>
          <w:sz w:val="22"/>
          <w:szCs w:val="22"/>
        </w:rPr>
        <w:t xml:space="preserve"> driving forc</w:t>
      </w:r>
      <w:r w:rsidR="00253AC3">
        <w:rPr>
          <w:color w:val="2A295C"/>
          <w:sz w:val="22"/>
          <w:szCs w:val="22"/>
        </w:rPr>
        <w:t>e</w:t>
      </w:r>
      <w:r w:rsidRPr="000434B5">
        <w:rPr>
          <w:color w:val="2A295C"/>
          <w:sz w:val="22"/>
          <w:szCs w:val="22"/>
        </w:rPr>
        <w:t xml:space="preserve">, ensuring best-in-class delivery across </w:t>
      </w:r>
      <w:r w:rsidR="00253AC3">
        <w:rPr>
          <w:color w:val="2A295C"/>
          <w:sz w:val="22"/>
          <w:szCs w:val="22"/>
        </w:rPr>
        <w:t>h</w:t>
      </w:r>
      <w:r w:rsidRPr="000434B5">
        <w:rPr>
          <w:color w:val="2A295C"/>
          <w:sz w:val="22"/>
          <w:szCs w:val="22"/>
        </w:rPr>
        <w:t>ard FM,</w:t>
      </w:r>
      <w:r w:rsidR="00253AC3">
        <w:rPr>
          <w:color w:val="2A295C"/>
          <w:sz w:val="22"/>
          <w:szCs w:val="22"/>
        </w:rPr>
        <w:t xml:space="preserve"> </w:t>
      </w:r>
      <w:r w:rsidRPr="000434B5">
        <w:rPr>
          <w:color w:val="2A295C"/>
          <w:sz w:val="22"/>
          <w:szCs w:val="22"/>
        </w:rPr>
        <w:t>technology and digital, and sustainability initiatives</w:t>
      </w:r>
    </w:p>
    <w:p w14:paraId="19219E60" w14:textId="77777777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Strategies</w:t>
      </w:r>
      <w:r w:rsidRPr="000434B5">
        <w:rPr>
          <w:color w:val="2A295C"/>
          <w:sz w:val="22"/>
          <w:szCs w:val="22"/>
        </w:rPr>
        <w:t xml:space="preserve"> long-term client solutions, building strong, collaborative partnerships and tailoring services to evolving needs</w:t>
      </w:r>
    </w:p>
    <w:p w14:paraId="39C58A70" w14:textId="77777777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Transform</w:t>
      </w:r>
      <w:r w:rsidRPr="000434B5">
        <w:rPr>
          <w:color w:val="2A295C"/>
          <w:sz w:val="22"/>
          <w:szCs w:val="22"/>
        </w:rPr>
        <w:t xml:space="preserve"> operations through innovation, technology, and continuous improvement in people, processes, and systems</w:t>
      </w:r>
    </w:p>
    <w:p w14:paraId="6A5CC20D" w14:textId="77777777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Grow</w:t>
      </w:r>
      <w:r w:rsidRPr="000434B5">
        <w:rPr>
          <w:color w:val="2A295C"/>
          <w:sz w:val="22"/>
          <w:szCs w:val="22"/>
        </w:rPr>
        <w:t xml:space="preserve"> the FM business by identifying expansion opportunities and ensuring financial and service targets are achieved</w:t>
      </w:r>
    </w:p>
    <w:p w14:paraId="038D64FD" w14:textId="77777777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Champion</w:t>
      </w:r>
      <w:r w:rsidRPr="000434B5">
        <w:rPr>
          <w:color w:val="2A295C"/>
          <w:sz w:val="22"/>
          <w:szCs w:val="22"/>
        </w:rPr>
        <w:t xml:space="preserve"> diversity, equity, inclusion, and workforce development to support a positive, inclusive culture</w:t>
      </w:r>
    </w:p>
    <w:p w14:paraId="6267DF7A" w14:textId="77777777" w:rsidR="000434B5" w:rsidRPr="000434B5" w:rsidRDefault="000434B5" w:rsidP="000434B5">
      <w:pPr>
        <w:pStyle w:val="Default"/>
        <w:numPr>
          <w:ilvl w:val="0"/>
          <w:numId w:val="19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Sustain</w:t>
      </w:r>
      <w:r w:rsidRPr="000434B5">
        <w:rPr>
          <w:color w:val="2A295C"/>
          <w:sz w:val="22"/>
          <w:szCs w:val="22"/>
        </w:rPr>
        <w:t xml:space="preserve"> organisational commitments to Net Zero Carbon and broader ESG goals</w:t>
      </w:r>
    </w:p>
    <w:p w14:paraId="1034A222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45F5338C" w14:textId="1E61277D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Client &amp; Stakeholder Management</w:t>
      </w:r>
    </w:p>
    <w:p w14:paraId="6AC74EBC" w14:textId="77777777" w:rsidR="000434B5" w:rsidRPr="000434B5" w:rsidRDefault="000434B5" w:rsidP="000434B5">
      <w:pPr>
        <w:pStyle w:val="Default"/>
        <w:numPr>
          <w:ilvl w:val="0"/>
          <w:numId w:val="20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Cultivate collaborative, high-trust client relationships to ensure contract retention, satisfaction, and service excellence</w:t>
      </w:r>
    </w:p>
    <w:p w14:paraId="7B246A12" w14:textId="15954A0E" w:rsidR="000434B5" w:rsidRPr="000434B5" w:rsidRDefault="000434B5" w:rsidP="000434B5">
      <w:pPr>
        <w:pStyle w:val="Default"/>
        <w:numPr>
          <w:ilvl w:val="0"/>
          <w:numId w:val="20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Act as </w:t>
      </w:r>
      <w:r w:rsidR="00253AC3">
        <w:rPr>
          <w:color w:val="2A295C"/>
          <w:sz w:val="22"/>
          <w:szCs w:val="22"/>
        </w:rPr>
        <w:t>a pivotal</w:t>
      </w:r>
      <w:r w:rsidRPr="000434B5">
        <w:rPr>
          <w:color w:val="2A295C"/>
          <w:sz w:val="22"/>
          <w:szCs w:val="22"/>
        </w:rPr>
        <w:t xml:space="preserve"> point of contact for client escalations, service performance, and strategic planning</w:t>
      </w:r>
    </w:p>
    <w:p w14:paraId="3F062468" w14:textId="77777777" w:rsidR="000434B5" w:rsidRPr="000434B5" w:rsidRDefault="000434B5" w:rsidP="000434B5">
      <w:pPr>
        <w:pStyle w:val="Default"/>
        <w:numPr>
          <w:ilvl w:val="0"/>
          <w:numId w:val="20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lastRenderedPageBreak/>
        <w:t>Work closely with operations teams and subject matter experts to analyse, support and build service excellence for clients</w:t>
      </w:r>
    </w:p>
    <w:p w14:paraId="065C7715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69AF8AF6" w14:textId="4E3C9CE9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Operational Delivery</w:t>
      </w:r>
    </w:p>
    <w:p w14:paraId="0E72EFC3" w14:textId="77777777" w:rsidR="000434B5" w:rsidRPr="000434B5" w:rsidRDefault="000434B5" w:rsidP="000434B5">
      <w:pPr>
        <w:pStyle w:val="Default"/>
        <w:numPr>
          <w:ilvl w:val="0"/>
          <w:numId w:val="21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Oversee the delivery of FM contracts, ensuring cost-effectiveness, statutory compliance, and operational efficiency</w:t>
      </w:r>
    </w:p>
    <w:p w14:paraId="6A64D0FF" w14:textId="77777777" w:rsidR="000434B5" w:rsidRPr="000434B5" w:rsidRDefault="000434B5" w:rsidP="000434B5">
      <w:pPr>
        <w:pStyle w:val="Default"/>
        <w:numPr>
          <w:ilvl w:val="0"/>
          <w:numId w:val="21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Examine and consult on key operational activities including KPIs, SLAs, change management, and contract governance for effectiveness and compliance</w:t>
      </w:r>
    </w:p>
    <w:p w14:paraId="38B2B994" w14:textId="77777777" w:rsidR="000434B5" w:rsidRPr="000434B5" w:rsidRDefault="000434B5" w:rsidP="000434B5">
      <w:pPr>
        <w:pStyle w:val="Default"/>
        <w:numPr>
          <w:ilvl w:val="0"/>
          <w:numId w:val="21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Implement the delivery and adherence to the Technical Services Framework and FM standards </w:t>
      </w:r>
    </w:p>
    <w:p w14:paraId="3B862EAB" w14:textId="77777777" w:rsidR="000434B5" w:rsidRPr="000434B5" w:rsidRDefault="000434B5" w:rsidP="000434B5">
      <w:pPr>
        <w:pStyle w:val="Default"/>
        <w:numPr>
          <w:ilvl w:val="0"/>
          <w:numId w:val="21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Uphold rigorous health, safety, environmental and quality standards across all FM operations</w:t>
      </w:r>
    </w:p>
    <w:p w14:paraId="542CD09C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25B93009" w14:textId="24510B57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Financial &amp; Commercial Management</w:t>
      </w:r>
    </w:p>
    <w:p w14:paraId="31743CEA" w14:textId="2D90240E" w:rsidR="000434B5" w:rsidRPr="00253AC3" w:rsidRDefault="00253AC3" w:rsidP="00DE2853">
      <w:pPr>
        <w:pStyle w:val="Default"/>
        <w:numPr>
          <w:ilvl w:val="0"/>
          <w:numId w:val="22"/>
        </w:numPr>
        <w:rPr>
          <w:color w:val="2A295C"/>
          <w:sz w:val="22"/>
          <w:szCs w:val="22"/>
        </w:rPr>
      </w:pPr>
      <w:r w:rsidRPr="00253AC3">
        <w:rPr>
          <w:color w:val="2A295C"/>
          <w:sz w:val="22"/>
          <w:szCs w:val="22"/>
        </w:rPr>
        <w:t xml:space="preserve">The operations teams are one of the role </w:t>
      </w:r>
      <w:proofErr w:type="gramStart"/>
      <w:r w:rsidRPr="00253AC3">
        <w:rPr>
          <w:color w:val="2A295C"/>
          <w:sz w:val="22"/>
          <w:szCs w:val="22"/>
        </w:rPr>
        <w:t>holders</w:t>
      </w:r>
      <w:proofErr w:type="gramEnd"/>
      <w:r w:rsidRPr="00253AC3">
        <w:rPr>
          <w:color w:val="2A295C"/>
          <w:sz w:val="22"/>
          <w:szCs w:val="22"/>
        </w:rPr>
        <w:t xml:space="preserve"> internal clients, and the role holder </w:t>
      </w:r>
      <w:proofErr w:type="gramStart"/>
      <w:r w:rsidRPr="00253AC3">
        <w:rPr>
          <w:color w:val="2A295C"/>
          <w:sz w:val="22"/>
          <w:szCs w:val="22"/>
        </w:rPr>
        <w:t>has the ability to</w:t>
      </w:r>
      <w:proofErr w:type="gramEnd"/>
      <w:r w:rsidRPr="00253AC3">
        <w:rPr>
          <w:color w:val="2A295C"/>
          <w:sz w:val="22"/>
          <w:szCs w:val="22"/>
        </w:rPr>
        <w:t xml:space="preserve"> </w:t>
      </w:r>
      <w:r>
        <w:rPr>
          <w:color w:val="2A295C"/>
          <w:sz w:val="22"/>
          <w:szCs w:val="22"/>
        </w:rPr>
        <w:t>o</w:t>
      </w:r>
      <w:r w:rsidR="000434B5" w:rsidRPr="00253AC3">
        <w:rPr>
          <w:color w:val="2A295C"/>
          <w:sz w:val="22"/>
          <w:szCs w:val="22"/>
        </w:rPr>
        <w:t>ptimise operational and financial performance, ensuring efficiency, value for money, and commercial growth</w:t>
      </w:r>
    </w:p>
    <w:p w14:paraId="5351AB9B" w14:textId="4BD6EFF1" w:rsidR="000434B5" w:rsidRPr="000434B5" w:rsidRDefault="000434B5" w:rsidP="000434B5">
      <w:pPr>
        <w:pStyle w:val="Default"/>
        <w:numPr>
          <w:ilvl w:val="0"/>
          <w:numId w:val="22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Lead FM costing activities, developing cost models aligned to emerging and client centric commercial trends </w:t>
      </w:r>
      <w:r w:rsidR="00253AC3">
        <w:rPr>
          <w:color w:val="2A295C"/>
          <w:sz w:val="22"/>
          <w:szCs w:val="22"/>
        </w:rPr>
        <w:t xml:space="preserve">for projects, retention, cross sell and new business opportunities </w:t>
      </w:r>
    </w:p>
    <w:p w14:paraId="37D81068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7F3147E6" w14:textId="564BDFDD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FM Systems, Reporting &amp; Compliance</w:t>
      </w:r>
    </w:p>
    <w:p w14:paraId="20A046A8" w14:textId="7AB3E674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FM Compliance:</w:t>
      </w:r>
      <w:r w:rsidRPr="000434B5">
        <w:rPr>
          <w:color w:val="2A295C"/>
          <w:sz w:val="22"/>
          <w:szCs w:val="22"/>
        </w:rPr>
        <w:t xml:space="preserve"> Maintain a fully compliant </w:t>
      </w:r>
      <w:r w:rsidR="00253AC3">
        <w:rPr>
          <w:color w:val="2A295C"/>
          <w:sz w:val="22"/>
          <w:szCs w:val="22"/>
        </w:rPr>
        <w:t xml:space="preserve">technical </w:t>
      </w:r>
      <w:r w:rsidRPr="000434B5">
        <w:rPr>
          <w:color w:val="2A295C"/>
          <w:sz w:val="22"/>
          <w:szCs w:val="22"/>
        </w:rPr>
        <w:t>FM business, ensuring statutory obligations and internal standards are continually met</w:t>
      </w:r>
    </w:p>
    <w:p w14:paraId="3FC35780" w14:textId="62647FCE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Reporting:</w:t>
      </w:r>
      <w:r w:rsidRPr="000434B5">
        <w:rPr>
          <w:color w:val="2A295C"/>
          <w:sz w:val="22"/>
          <w:szCs w:val="22"/>
        </w:rPr>
        <w:t xml:space="preserve"> Provide strategic leadership to develop robust reporting capability to support operatio</w:t>
      </w:r>
      <w:r w:rsidR="00253AC3">
        <w:rPr>
          <w:color w:val="2A295C"/>
          <w:sz w:val="22"/>
          <w:szCs w:val="22"/>
        </w:rPr>
        <w:t xml:space="preserve">ns </w:t>
      </w:r>
      <w:r w:rsidR="009E682F">
        <w:rPr>
          <w:color w:val="2A295C"/>
          <w:sz w:val="22"/>
          <w:szCs w:val="22"/>
        </w:rPr>
        <w:t>(incorporating reporting across hard and soft services, incl. food services) and build trends and insights</w:t>
      </w:r>
    </w:p>
    <w:p w14:paraId="44009361" w14:textId="526F5729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FM Systems:</w:t>
      </w:r>
      <w:r w:rsidRPr="000434B5">
        <w:rPr>
          <w:color w:val="2A295C"/>
          <w:sz w:val="22"/>
          <w:szCs w:val="22"/>
        </w:rPr>
        <w:t xml:space="preserve"> Oversee the FM platforms and FM backbone (e.g., CAFM/CMMS/Systems), ensuring standardised, efficient </w:t>
      </w:r>
      <w:r w:rsidR="009E682F">
        <w:rPr>
          <w:color w:val="2A295C"/>
          <w:sz w:val="22"/>
          <w:szCs w:val="22"/>
        </w:rPr>
        <w:t xml:space="preserve">and compliant </w:t>
      </w:r>
      <w:r w:rsidRPr="000434B5">
        <w:rPr>
          <w:color w:val="2A295C"/>
          <w:sz w:val="22"/>
          <w:szCs w:val="22"/>
        </w:rPr>
        <w:t>delivery</w:t>
      </w:r>
    </w:p>
    <w:p w14:paraId="6522CDD2" w14:textId="77777777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FM Deployment:</w:t>
      </w:r>
      <w:r w:rsidRPr="000434B5">
        <w:rPr>
          <w:color w:val="2A295C"/>
          <w:sz w:val="22"/>
          <w:szCs w:val="22"/>
        </w:rPr>
        <w:t xml:space="preserve"> Lead the deployment of FM processes, standards, tools, and training to drive consistency and capability</w:t>
      </w:r>
    </w:p>
    <w:p w14:paraId="033EEC7A" w14:textId="4E222572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Coordinate FM professional families and subject matter experts across technical</w:t>
      </w:r>
      <w:r w:rsidR="009E682F">
        <w:rPr>
          <w:color w:val="2A295C"/>
          <w:sz w:val="22"/>
          <w:szCs w:val="22"/>
        </w:rPr>
        <w:t>, projects</w:t>
      </w:r>
      <w:r w:rsidRPr="000434B5">
        <w:rPr>
          <w:color w:val="2A295C"/>
          <w:sz w:val="22"/>
          <w:szCs w:val="22"/>
        </w:rPr>
        <w:t xml:space="preserve"> technology and digital services</w:t>
      </w:r>
    </w:p>
    <w:p w14:paraId="2002A91D" w14:textId="77777777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Oversee </w:t>
      </w:r>
      <w:r w:rsidRPr="000434B5">
        <w:rPr>
          <w:b/>
          <w:bCs/>
          <w:color w:val="2A295C"/>
          <w:sz w:val="22"/>
          <w:szCs w:val="22"/>
        </w:rPr>
        <w:t>risk management</w:t>
      </w:r>
      <w:r w:rsidRPr="000434B5">
        <w:rPr>
          <w:color w:val="2A295C"/>
          <w:sz w:val="22"/>
          <w:szCs w:val="22"/>
        </w:rPr>
        <w:t>, reporting to risk committees as required</w:t>
      </w:r>
    </w:p>
    <w:p w14:paraId="211E7822" w14:textId="77777777" w:rsidR="000434B5" w:rsidRPr="000434B5" w:rsidRDefault="000434B5" w:rsidP="000434B5">
      <w:pPr>
        <w:pStyle w:val="Default"/>
        <w:numPr>
          <w:ilvl w:val="0"/>
          <w:numId w:val="23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Lead on asset management and engineering data standards implementation</w:t>
      </w:r>
    </w:p>
    <w:p w14:paraId="75CCD1F2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28F37C7B" w14:textId="76FA2791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People Leadership</w:t>
      </w:r>
    </w:p>
    <w:p w14:paraId="1FFB4324" w14:textId="77777777" w:rsidR="000434B5" w:rsidRPr="000434B5" w:rsidRDefault="000434B5" w:rsidP="000434B5">
      <w:pPr>
        <w:pStyle w:val="Default"/>
        <w:numPr>
          <w:ilvl w:val="0"/>
          <w:numId w:val="24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Recruit, develop, and inspire high-performing teams across multiple service lines </w:t>
      </w:r>
    </w:p>
    <w:p w14:paraId="054B885C" w14:textId="77777777" w:rsidR="000434B5" w:rsidRPr="000434B5" w:rsidRDefault="000434B5" w:rsidP="000434B5">
      <w:pPr>
        <w:pStyle w:val="Default"/>
        <w:numPr>
          <w:ilvl w:val="0"/>
          <w:numId w:val="24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Promote a culture of engagement, collaboration, accountability, and continuous development.</w:t>
      </w:r>
    </w:p>
    <w:p w14:paraId="3DBAE174" w14:textId="77777777" w:rsidR="000434B5" w:rsidRPr="000434B5" w:rsidRDefault="000434B5" w:rsidP="000434B5">
      <w:pPr>
        <w:pStyle w:val="Default"/>
        <w:numPr>
          <w:ilvl w:val="0"/>
          <w:numId w:val="24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Act as a visible leader during change programmes, providing direction, clarity and resilience through transformation</w:t>
      </w:r>
    </w:p>
    <w:p w14:paraId="6C240090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4567E32D" w14:textId="4D9F1CE3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Experience &amp; Qualifications</w:t>
      </w:r>
    </w:p>
    <w:p w14:paraId="102C7455" w14:textId="77777777" w:rsidR="00E2489B" w:rsidRDefault="00E2489B" w:rsidP="000434B5">
      <w:pPr>
        <w:pStyle w:val="Default"/>
        <w:rPr>
          <w:b/>
          <w:bCs/>
          <w:color w:val="2A295C"/>
          <w:sz w:val="22"/>
          <w:szCs w:val="22"/>
        </w:rPr>
      </w:pPr>
    </w:p>
    <w:p w14:paraId="3D830C7D" w14:textId="554B410F" w:rsidR="000434B5" w:rsidRPr="000434B5" w:rsidRDefault="009E682F" w:rsidP="000434B5">
      <w:pPr>
        <w:pStyle w:val="Default"/>
        <w:rPr>
          <w:b/>
          <w:bCs/>
          <w:color w:val="2A295C"/>
          <w:sz w:val="22"/>
          <w:szCs w:val="22"/>
        </w:rPr>
      </w:pPr>
      <w:r>
        <w:rPr>
          <w:b/>
          <w:bCs/>
          <w:color w:val="2A295C"/>
          <w:sz w:val="22"/>
          <w:szCs w:val="22"/>
        </w:rPr>
        <w:t>Highly desirable</w:t>
      </w:r>
    </w:p>
    <w:p w14:paraId="6782FAC3" w14:textId="29A70097" w:rsidR="000434B5" w:rsidRPr="000434B5" w:rsidRDefault="009E682F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>
        <w:rPr>
          <w:color w:val="2A295C"/>
          <w:sz w:val="22"/>
          <w:szCs w:val="22"/>
        </w:rPr>
        <w:lastRenderedPageBreak/>
        <w:t>L</w:t>
      </w:r>
      <w:r w:rsidR="000434B5" w:rsidRPr="000434B5">
        <w:rPr>
          <w:color w:val="2A295C"/>
          <w:sz w:val="22"/>
          <w:szCs w:val="22"/>
        </w:rPr>
        <w:t>eadership experience in FM operations across multiple service lines</w:t>
      </w:r>
    </w:p>
    <w:p w14:paraId="26DB0580" w14:textId="06CE5CF4" w:rsid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 xml:space="preserve">Demonstrated success managing expert teams </w:t>
      </w:r>
    </w:p>
    <w:p w14:paraId="649AF738" w14:textId="77AFB599" w:rsidR="009E682F" w:rsidRPr="000434B5" w:rsidRDefault="009E682F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>
        <w:rPr>
          <w:color w:val="2A295C"/>
          <w:sz w:val="22"/>
          <w:szCs w:val="22"/>
        </w:rPr>
        <w:t>Project management experience</w:t>
      </w:r>
    </w:p>
    <w:p w14:paraId="3B6EC03D" w14:textId="236E5095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Strong technical understanding of hard FM statutory compliance and operational delivery</w:t>
      </w:r>
    </w:p>
    <w:p w14:paraId="22D1BB9B" w14:textId="249612AB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Experience with technology, system</w:t>
      </w:r>
      <w:r w:rsidR="009E682F">
        <w:rPr>
          <w:color w:val="2A295C"/>
          <w:sz w:val="22"/>
          <w:szCs w:val="22"/>
        </w:rPr>
        <w:t xml:space="preserve">s, </w:t>
      </w:r>
      <w:r w:rsidRPr="000434B5">
        <w:rPr>
          <w:color w:val="2A295C"/>
          <w:sz w:val="22"/>
          <w:szCs w:val="22"/>
        </w:rPr>
        <w:t xml:space="preserve">reporting </w:t>
      </w:r>
      <w:r w:rsidR="009E682F">
        <w:rPr>
          <w:color w:val="2A295C"/>
          <w:sz w:val="22"/>
          <w:szCs w:val="22"/>
        </w:rPr>
        <w:t xml:space="preserve">and AI integration </w:t>
      </w:r>
      <w:r w:rsidRPr="000434B5">
        <w:rPr>
          <w:color w:val="2A295C"/>
          <w:sz w:val="22"/>
          <w:szCs w:val="22"/>
        </w:rPr>
        <w:t>and</w:t>
      </w:r>
      <w:r w:rsidR="009E682F">
        <w:rPr>
          <w:color w:val="2A295C"/>
          <w:sz w:val="22"/>
          <w:szCs w:val="22"/>
        </w:rPr>
        <w:t xml:space="preserve"> a</w:t>
      </w:r>
      <w:r w:rsidRPr="000434B5">
        <w:rPr>
          <w:color w:val="2A295C"/>
          <w:sz w:val="22"/>
          <w:szCs w:val="22"/>
        </w:rPr>
        <w:t xml:space="preserve"> curiosity to develop this beyond standard offerings</w:t>
      </w:r>
    </w:p>
    <w:p w14:paraId="6316DBCF" w14:textId="77777777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Proven ability to drive large-scale change management programmes</w:t>
      </w:r>
    </w:p>
    <w:p w14:paraId="7EFB7E5E" w14:textId="77777777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Excellent relationship management, influencing, and communication skills</w:t>
      </w:r>
    </w:p>
    <w:p w14:paraId="112BEB1D" w14:textId="77777777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Commercial acumen with ability to interpret complex financial data and adapt to shifting priorities</w:t>
      </w:r>
    </w:p>
    <w:p w14:paraId="5CE780E3" w14:textId="77777777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Strong IT competency, including MS365, CAFM/CMMS platforms, Power Bi, and digital FM tools</w:t>
      </w:r>
    </w:p>
    <w:p w14:paraId="38487E00" w14:textId="77777777" w:rsidR="000434B5" w:rsidRPr="000434B5" w:rsidRDefault="000434B5" w:rsidP="000434B5">
      <w:pPr>
        <w:pStyle w:val="Default"/>
        <w:numPr>
          <w:ilvl w:val="0"/>
          <w:numId w:val="25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Commitment to health, safety, environment, sustainability, and operational excellence</w:t>
      </w:r>
    </w:p>
    <w:p w14:paraId="5016914D" w14:textId="77777777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Desirable</w:t>
      </w:r>
    </w:p>
    <w:p w14:paraId="0CD125DF" w14:textId="77777777" w:rsidR="000434B5" w:rsidRPr="000434B5" w:rsidRDefault="000434B5" w:rsidP="000434B5">
      <w:pPr>
        <w:pStyle w:val="Default"/>
        <w:numPr>
          <w:ilvl w:val="0"/>
          <w:numId w:val="26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Industry-related qualifications and/or membership (e.g., IWFM, engineering, technical or FM certification)</w:t>
      </w:r>
    </w:p>
    <w:p w14:paraId="4EA688E5" w14:textId="77777777" w:rsidR="000434B5" w:rsidRPr="000434B5" w:rsidRDefault="000434B5" w:rsidP="000434B5">
      <w:pPr>
        <w:pStyle w:val="Default"/>
        <w:numPr>
          <w:ilvl w:val="0"/>
          <w:numId w:val="26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Experience in sustainability leadership, Net Zero Carbon strategies, or social value programmes</w:t>
      </w:r>
    </w:p>
    <w:p w14:paraId="65DE8B76" w14:textId="77777777" w:rsidR="000434B5" w:rsidRPr="000434B5" w:rsidRDefault="000434B5" w:rsidP="000434B5">
      <w:pPr>
        <w:pStyle w:val="Default"/>
        <w:rPr>
          <w:b/>
          <w:bCs/>
          <w:color w:val="2A295C"/>
          <w:sz w:val="22"/>
          <w:szCs w:val="22"/>
        </w:rPr>
      </w:pPr>
      <w:r w:rsidRPr="000434B5">
        <w:rPr>
          <w:b/>
          <w:bCs/>
          <w:color w:val="2A295C"/>
          <w:sz w:val="22"/>
          <w:szCs w:val="22"/>
        </w:rPr>
        <w:t>Competencies</w:t>
      </w:r>
    </w:p>
    <w:p w14:paraId="259918A4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Strategic leadership</w:t>
      </w:r>
    </w:p>
    <w:p w14:paraId="7D531F32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Commercial and financial acumen</w:t>
      </w:r>
    </w:p>
    <w:p w14:paraId="78E0B646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Operational excellence</w:t>
      </w:r>
    </w:p>
    <w:p w14:paraId="5FBD9809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Stakeholder engagement</w:t>
      </w:r>
    </w:p>
    <w:p w14:paraId="077E6DCF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Change and transformation management</w:t>
      </w:r>
    </w:p>
    <w:p w14:paraId="18475E31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Risk and compliance oversight</w:t>
      </w:r>
    </w:p>
    <w:p w14:paraId="04F535ED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People management and leadership</w:t>
      </w:r>
    </w:p>
    <w:p w14:paraId="4E227A72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Innovation and continuous improvement</w:t>
      </w:r>
    </w:p>
    <w:p w14:paraId="1BC04DD8" w14:textId="77777777" w:rsidR="000434B5" w:rsidRPr="000434B5" w:rsidRDefault="000434B5" w:rsidP="000434B5">
      <w:pPr>
        <w:pStyle w:val="Default"/>
        <w:numPr>
          <w:ilvl w:val="0"/>
          <w:numId w:val="27"/>
        </w:numPr>
        <w:rPr>
          <w:color w:val="2A295C"/>
          <w:sz w:val="22"/>
          <w:szCs w:val="22"/>
        </w:rPr>
      </w:pPr>
      <w:r w:rsidRPr="000434B5">
        <w:rPr>
          <w:color w:val="2A295C"/>
          <w:sz w:val="22"/>
          <w:szCs w:val="22"/>
        </w:rPr>
        <w:t>ESG and sustainability focus</w:t>
      </w:r>
    </w:p>
    <w:p w14:paraId="758A5887" w14:textId="675C11E3" w:rsidR="00904F71" w:rsidRPr="00506FBD" w:rsidRDefault="00904F71" w:rsidP="00904F71">
      <w:pPr>
        <w:pStyle w:val="Default"/>
        <w:rPr>
          <w:color w:val="2A295C"/>
          <w:sz w:val="22"/>
          <w:szCs w:val="22"/>
        </w:rPr>
      </w:pPr>
    </w:p>
    <w:sectPr w:rsidR="00904F71" w:rsidRPr="00506FBD" w:rsidSect="0093549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1418" w:bottom="3119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935EC" w14:textId="77777777" w:rsidR="00E80600" w:rsidRDefault="00E80600" w:rsidP="0093549C">
      <w:r>
        <w:separator/>
      </w:r>
    </w:p>
  </w:endnote>
  <w:endnote w:type="continuationSeparator" w:id="0">
    <w:p w14:paraId="638B16E4" w14:textId="77777777" w:rsidR="00E80600" w:rsidRDefault="00E80600" w:rsidP="0093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5F743" w14:textId="77777777" w:rsidR="00152F7E" w:rsidRDefault="00152F7E" w:rsidP="00152F7E">
    <w:pPr>
      <w:pStyle w:val="Foot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505"/>
      <w:gridCol w:w="555"/>
    </w:tblGrid>
    <w:tr w:rsidR="00152F7E" w:rsidRPr="0093549C" w14:paraId="1358985B" w14:textId="77777777" w:rsidTr="00E23550">
      <w:trPr>
        <w:cantSplit/>
        <w:trHeight w:val="992"/>
      </w:trPr>
      <w:tc>
        <w:tcPr>
          <w:tcW w:w="8505" w:type="dxa"/>
          <w:vAlign w:val="bottom"/>
        </w:tcPr>
        <w:p w14:paraId="4A284DA9" w14:textId="77777777" w:rsidR="00152F7E" w:rsidRPr="00F24452" w:rsidRDefault="00152F7E" w:rsidP="00CE1746">
          <w:pPr>
            <w:pStyle w:val="Footer"/>
            <w:jc w:val="left"/>
            <w:rPr>
              <w:b/>
              <w:bCs/>
              <w:lang w:val="en-GB"/>
            </w:rPr>
          </w:pPr>
        </w:p>
      </w:tc>
      <w:tc>
        <w:tcPr>
          <w:tcW w:w="555" w:type="dxa"/>
          <w:vAlign w:val="bottom"/>
        </w:tcPr>
        <w:p w14:paraId="07383BBE" w14:textId="77777777" w:rsidR="00152F7E" w:rsidRPr="0093549C" w:rsidRDefault="00152F7E" w:rsidP="00152F7E">
          <w:pPr>
            <w:pStyle w:val="Footer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1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PageNumber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PageNumber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48D9949A" w14:textId="77777777" w:rsidR="00152F7E" w:rsidRPr="0093549C" w:rsidRDefault="00152F7E" w:rsidP="00152F7E">
    <w:pPr>
      <w:pStyle w:val="Footer"/>
      <w:rPr>
        <w:lang w:val="en-GB"/>
      </w:rPr>
    </w:pPr>
  </w:p>
  <w:p w14:paraId="4EFF235D" w14:textId="77777777" w:rsidR="00E34004" w:rsidRDefault="00E34004"/>
  <w:p w14:paraId="059B328E" w14:textId="77777777" w:rsidR="00E34004" w:rsidRDefault="00E34004"/>
  <w:p w14:paraId="051D75EA" w14:textId="77777777" w:rsidR="00E34004" w:rsidRDefault="00E34004"/>
  <w:p w14:paraId="091FE15A" w14:textId="77777777" w:rsidR="00E34004" w:rsidRDefault="00E340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864A0" w14:textId="77777777" w:rsidR="00480914" w:rsidRPr="00E13F0D" w:rsidRDefault="00480914" w:rsidP="00480914">
    <w:pPr>
      <w:pStyle w:val="Footer"/>
      <w:contextualSpacing/>
      <w:rPr>
        <w:rFonts w:ascii="Arial" w:hAnsi="Arial" w:cs="Arial"/>
        <w:color w:val="2E2E83"/>
        <w:sz w:val="16"/>
        <w:szCs w:val="16"/>
      </w:rPr>
    </w:pPr>
    <w:r w:rsidRPr="00E13F0D">
      <w:rPr>
        <w:rFonts w:ascii="Arial" w:hAnsi="Arial" w:cs="Arial"/>
        <w:color w:val="2E2E83"/>
        <w:sz w:val="16"/>
        <w:szCs w:val="16"/>
      </w:rPr>
      <w:t>Sodexo Ireland Limited</w:t>
    </w:r>
  </w:p>
  <w:p w14:paraId="781830AF" w14:textId="6C9EBC0D" w:rsidR="00074EED" w:rsidRPr="00074EED" w:rsidRDefault="00074EED" w:rsidP="00074EED">
    <w:pPr>
      <w:rPr>
        <w:rFonts w:ascii="Arial" w:hAnsi="Arial" w:cs="Arial"/>
        <w:color w:val="2E2E83"/>
        <w:sz w:val="16"/>
        <w:szCs w:val="16"/>
      </w:rPr>
    </w:pPr>
    <w:r w:rsidRPr="00074EED">
      <w:rPr>
        <w:rFonts w:ascii="Arial" w:hAnsi="Arial" w:cs="Arial"/>
        <w:color w:val="2E2E83"/>
        <w:sz w:val="16"/>
        <w:szCs w:val="16"/>
      </w:rPr>
      <w:t>Fourth floor</w:t>
    </w:r>
    <w:r>
      <w:rPr>
        <w:rFonts w:ascii="Arial" w:hAnsi="Arial" w:cs="Arial"/>
        <w:color w:val="2E2E83"/>
        <w:sz w:val="16"/>
        <w:szCs w:val="16"/>
      </w:rPr>
      <w:t xml:space="preserve">, </w:t>
    </w:r>
    <w:r w:rsidRPr="00074EED">
      <w:rPr>
        <w:rFonts w:ascii="Arial" w:hAnsi="Arial" w:cs="Arial"/>
        <w:color w:val="2E2E83"/>
        <w:sz w:val="16"/>
        <w:szCs w:val="16"/>
      </w:rPr>
      <w:t>One Grand Parade</w:t>
    </w:r>
    <w:r>
      <w:rPr>
        <w:rFonts w:ascii="Arial" w:hAnsi="Arial" w:cs="Arial"/>
        <w:color w:val="2E2E83"/>
        <w:sz w:val="16"/>
        <w:szCs w:val="16"/>
      </w:rPr>
      <w:t xml:space="preserve">, </w:t>
    </w:r>
    <w:r w:rsidRPr="00074EED">
      <w:rPr>
        <w:rFonts w:ascii="Arial" w:hAnsi="Arial" w:cs="Arial"/>
        <w:color w:val="2E2E83"/>
        <w:sz w:val="16"/>
        <w:szCs w:val="16"/>
      </w:rPr>
      <w:t>Dublin 6</w:t>
    </w:r>
    <w:r>
      <w:rPr>
        <w:rFonts w:ascii="Arial" w:hAnsi="Arial" w:cs="Arial"/>
        <w:color w:val="2E2E83"/>
        <w:sz w:val="16"/>
        <w:szCs w:val="16"/>
      </w:rPr>
      <w:t xml:space="preserve">, </w:t>
    </w:r>
    <w:r w:rsidRPr="00074EED">
      <w:rPr>
        <w:rFonts w:ascii="Arial" w:hAnsi="Arial" w:cs="Arial"/>
        <w:color w:val="2E2E83"/>
        <w:sz w:val="16"/>
        <w:szCs w:val="16"/>
      </w:rPr>
      <w:t xml:space="preserve">D06 R9X8  </w:t>
    </w:r>
  </w:p>
  <w:p w14:paraId="708F0066" w14:textId="07B58E09" w:rsidR="00480914" w:rsidRDefault="00480914" w:rsidP="00480914">
    <w:pPr>
      <w:spacing w:after="80"/>
      <w:contextualSpacing/>
      <w:rPr>
        <w:rFonts w:ascii="Arial" w:hAnsi="Arial" w:cs="Arial"/>
        <w:color w:val="2E2E83"/>
        <w:sz w:val="16"/>
        <w:szCs w:val="16"/>
      </w:rPr>
    </w:pPr>
    <w:r w:rsidRPr="008C696A">
      <w:rPr>
        <w:rFonts w:ascii="Arial" w:hAnsi="Arial" w:cs="Arial"/>
        <w:color w:val="2E2E83"/>
        <w:sz w:val="16"/>
        <w:szCs w:val="16"/>
      </w:rPr>
      <w:t>Tel.: +</w:t>
    </w:r>
    <w:r>
      <w:rPr>
        <w:rFonts w:ascii="Arial" w:hAnsi="Arial" w:cs="Arial"/>
        <w:color w:val="2E2E83"/>
        <w:sz w:val="16"/>
        <w:szCs w:val="16"/>
      </w:rPr>
      <w:t>353 (0)1 2833654</w:t>
    </w:r>
  </w:p>
  <w:p w14:paraId="5B16B241" w14:textId="77777777" w:rsidR="00074EED" w:rsidRDefault="00074EED" w:rsidP="00480914">
    <w:pPr>
      <w:spacing w:after="80"/>
      <w:contextualSpacing/>
      <w:rPr>
        <w:rFonts w:ascii="Arial" w:hAnsi="Arial" w:cs="Arial"/>
        <w:color w:val="2E2E83"/>
        <w:sz w:val="16"/>
        <w:szCs w:val="16"/>
      </w:rPr>
    </w:pPr>
  </w:p>
  <w:p w14:paraId="390F48F5" w14:textId="1DAFB089" w:rsidR="00480914" w:rsidRPr="004A6071" w:rsidRDefault="00480914" w:rsidP="00074EED">
    <w:pPr>
      <w:rPr>
        <w:rFonts w:ascii="Arial" w:hAnsi="Arial" w:cs="Arial"/>
        <w:color w:val="2E2E83"/>
        <w:sz w:val="13"/>
        <w:szCs w:val="13"/>
      </w:rPr>
    </w:pPr>
    <w:r w:rsidRPr="004A6071">
      <w:rPr>
        <w:rFonts w:ascii="Arial" w:hAnsi="Arial" w:cs="Arial"/>
        <w:color w:val="2E2E83"/>
        <w:sz w:val="13"/>
        <w:szCs w:val="13"/>
      </w:rPr>
      <w:t>Sodexo Ireland Limited – No 180309 – Incorporated in Ireland – Registered Office –</w:t>
    </w:r>
    <w:r w:rsidR="00074EED">
      <w:rPr>
        <w:rFonts w:ascii="Arial" w:hAnsi="Arial" w:cs="Arial"/>
        <w:color w:val="2E2E83"/>
        <w:sz w:val="13"/>
        <w:szCs w:val="13"/>
      </w:rPr>
      <w:t xml:space="preserve"> </w:t>
    </w:r>
    <w:r w:rsidR="00074EED" w:rsidRPr="00074EED">
      <w:rPr>
        <w:rFonts w:ascii="Arial" w:hAnsi="Arial" w:cs="Arial"/>
        <w:color w:val="2E2E83"/>
        <w:sz w:val="13"/>
        <w:szCs w:val="13"/>
      </w:rPr>
      <w:t>Fourth floor, One Grand Parade, Dublin 6, D06 R9X8</w:t>
    </w:r>
    <w:r w:rsidR="00074EED" w:rsidRPr="00074EED">
      <w:rPr>
        <w:rFonts w:ascii="Arial" w:hAnsi="Arial" w:cs="Arial"/>
        <w:color w:val="2E2E83"/>
        <w:sz w:val="16"/>
        <w:szCs w:val="16"/>
      </w:rPr>
      <w:t xml:space="preserve">  </w:t>
    </w:r>
    <w:r w:rsidRPr="004A6071">
      <w:rPr>
        <w:rFonts w:ascii="Arial" w:hAnsi="Arial" w:cs="Arial"/>
        <w:color w:val="2E2E83"/>
        <w:sz w:val="13"/>
        <w:szCs w:val="13"/>
      </w:rPr>
      <w:t xml:space="preserve"> </w:t>
    </w:r>
  </w:p>
  <w:p w14:paraId="1A6EBB3E" w14:textId="26F96CAC" w:rsidR="00480914" w:rsidRPr="004A6071" w:rsidRDefault="00480914" w:rsidP="00480914">
    <w:pPr>
      <w:pStyle w:val="Footer"/>
      <w:rPr>
        <w:rFonts w:ascii="Arial" w:hAnsi="Arial" w:cs="Arial"/>
        <w:color w:val="2E2E83"/>
        <w:sz w:val="13"/>
        <w:szCs w:val="13"/>
      </w:rPr>
    </w:pPr>
    <w:r w:rsidRPr="004A6071">
      <w:rPr>
        <w:rFonts w:ascii="Arial" w:hAnsi="Arial" w:cs="Arial"/>
        <w:color w:val="2E2E83"/>
        <w:sz w:val="13"/>
        <w:szCs w:val="13"/>
      </w:rPr>
      <w:t xml:space="preserve">Directors: </w:t>
    </w:r>
    <w:r w:rsidR="00384D41">
      <w:rPr>
        <w:rFonts w:ascii="Arial" w:hAnsi="Arial" w:cs="Arial"/>
        <w:color w:val="2E2E83"/>
        <w:sz w:val="13"/>
        <w:szCs w:val="13"/>
      </w:rPr>
      <w:t xml:space="preserve">Amolak </w:t>
    </w:r>
    <w:r w:rsidR="00D725FD">
      <w:rPr>
        <w:rFonts w:ascii="Arial" w:hAnsi="Arial" w:cs="Arial"/>
        <w:color w:val="2E2E83"/>
        <w:sz w:val="13"/>
        <w:szCs w:val="13"/>
      </w:rPr>
      <w:t>Dhariwal</w:t>
    </w:r>
    <w:r w:rsidRPr="004A6071">
      <w:rPr>
        <w:rFonts w:ascii="Arial" w:hAnsi="Arial" w:cs="Arial"/>
        <w:color w:val="2E2E83"/>
        <w:sz w:val="13"/>
        <w:szCs w:val="13"/>
      </w:rPr>
      <w:t xml:space="preserve"> (British), </w:t>
    </w:r>
    <w:r>
      <w:rPr>
        <w:rFonts w:ascii="Arial" w:hAnsi="Arial" w:cs="Arial"/>
        <w:color w:val="2E2E83"/>
        <w:sz w:val="13"/>
        <w:szCs w:val="13"/>
      </w:rPr>
      <w:t>Jean Renton (British),</w:t>
    </w:r>
    <w:r w:rsidR="00710745">
      <w:rPr>
        <w:rFonts w:ascii="Arial" w:hAnsi="Arial" w:cs="Arial"/>
        <w:color w:val="2E2E83"/>
        <w:sz w:val="13"/>
        <w:szCs w:val="13"/>
      </w:rPr>
      <w:t xml:space="preserve"> </w:t>
    </w:r>
    <w:r>
      <w:rPr>
        <w:rFonts w:ascii="Arial" w:hAnsi="Arial" w:cs="Arial"/>
        <w:color w:val="2E2E83"/>
        <w:sz w:val="13"/>
        <w:szCs w:val="13"/>
      </w:rPr>
      <w:t>David Fox (Irish)</w:t>
    </w:r>
    <w:r w:rsidR="003933F5">
      <w:rPr>
        <w:rFonts w:ascii="Arial" w:hAnsi="Arial" w:cs="Arial"/>
        <w:color w:val="2E2E83"/>
        <w:sz w:val="13"/>
        <w:szCs w:val="13"/>
      </w:rPr>
      <w:t>, Deirdre Murphy (Irish)</w:t>
    </w:r>
  </w:p>
  <w:p w14:paraId="25120401" w14:textId="09186AC0" w:rsidR="00480914" w:rsidRPr="00E13F0D" w:rsidRDefault="00480914" w:rsidP="00480914">
    <w:pPr>
      <w:spacing w:after="80"/>
      <w:rPr>
        <w:rFonts w:ascii="Arial" w:hAnsi="Arial" w:cs="Arial"/>
        <w:b/>
        <w:color w:val="2E2E83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24"/>
        <w:szCs w:val="24"/>
        <w:lang w:val="en-GB"/>
      </w:rPr>
      <w:drawing>
        <wp:anchor distT="0" distB="0" distL="114300" distR="114300" simplePos="0" relativeHeight="251659776" behindDoc="0" locked="0" layoutInCell="1" allowOverlap="1" wp14:anchorId="264FED1E" wp14:editId="7FCD7BEF">
          <wp:simplePos x="0" y="0"/>
          <wp:positionH relativeFrom="column">
            <wp:posOffset>5871845</wp:posOffset>
          </wp:positionH>
          <wp:positionV relativeFrom="paragraph">
            <wp:posOffset>84455</wp:posOffset>
          </wp:positionV>
          <wp:extent cx="597535" cy="4819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F0D">
      <w:rPr>
        <w:rFonts w:ascii="Arial" w:hAnsi="Arial" w:cs="Arial"/>
        <w:b/>
        <w:color w:val="2E2E83"/>
        <w:sz w:val="16"/>
        <w:szCs w:val="16"/>
      </w:rPr>
      <w:t>www.sodexo.com</w:t>
    </w:r>
  </w:p>
  <w:p w14:paraId="2926B636" w14:textId="77777777" w:rsidR="0093549C" w:rsidRPr="00B61A83" w:rsidRDefault="0093549C" w:rsidP="0093549C">
    <w:pPr>
      <w:pStyle w:val="Footer"/>
    </w:pPr>
  </w:p>
  <w:p w14:paraId="4D28F814" w14:textId="77777777" w:rsidR="0093549C" w:rsidRPr="00B61A83" w:rsidRDefault="0093549C" w:rsidP="0093549C">
    <w:pPr>
      <w:pStyle w:val="Footer"/>
    </w:pPr>
  </w:p>
  <w:p w14:paraId="6D9DA582" w14:textId="77777777" w:rsidR="0093549C" w:rsidRPr="0093549C" w:rsidRDefault="0093549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F74D" w14:textId="77777777" w:rsidR="00E80600" w:rsidRDefault="00E80600" w:rsidP="0093549C">
      <w:r>
        <w:separator/>
      </w:r>
    </w:p>
  </w:footnote>
  <w:footnote w:type="continuationSeparator" w:id="0">
    <w:p w14:paraId="716FCE8A" w14:textId="77777777" w:rsidR="00E80600" w:rsidRDefault="00E80600" w:rsidP="0093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B1CF" w14:textId="77777777" w:rsidR="00152F7E" w:rsidRDefault="00152F7E" w:rsidP="00152F7E">
    <w:pPr>
      <w:pStyle w:val="Header"/>
      <w:jc w:val="right"/>
    </w:pPr>
    <w:r>
      <w:rPr>
        <w:noProof/>
      </w:rPr>
      <w:drawing>
        <wp:inline distT="0" distB="0" distL="0" distR="0" wp14:anchorId="736003F4" wp14:editId="45848E5E">
          <wp:extent cx="864000" cy="283354"/>
          <wp:effectExtent l="0" t="0" r="0" b="2540"/>
          <wp:docPr id="1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F1C96" w14:textId="77777777" w:rsidR="0093549C" w:rsidRDefault="00C621EB" w:rsidP="002B6B87">
    <w:pPr>
      <w:pStyle w:val="Header"/>
      <w:pBdr>
        <w:bottom w:val="single" w:sz="48" w:space="25" w:color="EE0000" w:themeColor="background2"/>
      </w:pBdr>
      <w:spacing w:after="960"/>
    </w:pPr>
    <w:r>
      <w:rPr>
        <w:noProof/>
      </w:rPr>
      <w:drawing>
        <wp:inline distT="0" distB="0" distL="0" distR="0" wp14:anchorId="09568731" wp14:editId="578D0A83">
          <wp:extent cx="1295400" cy="424835"/>
          <wp:effectExtent l="0" t="0" r="0" b="0"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1321621" cy="4334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3.6pt" o:bullet="t">
        <v:imagedata r:id="rId1" o:title="SODEXO_Word_Element_PuceRouge_RVB"/>
      </v:shape>
    </w:pict>
  </w:numPicBullet>
  <w:numPicBullet w:numPicBulletId="1">
    <w:pict>
      <v:shape id="_x0000_i1026" type="#_x0000_t75" style="width:9.6pt;height:3.6pt" o:bullet="t">
        <v:imagedata r:id="rId2" o:title="HM_SODEXO_Word_Element_PuceRouge_RVB"/>
      </v:shape>
    </w:pict>
  </w:numPicBullet>
  <w:numPicBullet w:numPicBulletId="2">
    <w:pict>
      <v:shape id="_x0000_i1027" type="#_x0000_t75" style="width:11.4pt;height:6pt" o:bullet="t">
        <v:imagedata r:id="rId3" o:title="HM_SODEXO_Word_Element_PuceRouge_RVB"/>
      </v:shape>
    </w:pict>
  </w:numPicBullet>
  <w:numPicBullet w:numPicBulletId="3">
    <w:pict>
      <v:shape id="_x0000_i1028" type="#_x0000_t75" style="width:10.2pt;height:6pt" o:bullet="t">
        <v:imagedata r:id="rId4" o:title="HM_SODEXO_Word_Element_PuceRouge_RVB"/>
      </v:shape>
    </w:pict>
  </w:numPicBullet>
  <w:numPicBullet w:numPicBulletId="4">
    <w:pict>
      <v:shape id="_x0000_i1029" type="#_x0000_t75" style="width:12pt;height:3.6pt" o:bullet="t">
        <v:imagedata r:id="rId5" o:title="HM_SODEXO_Word_Element_PuceRouge_RVB"/>
      </v:shape>
    </w:pict>
  </w:numPicBullet>
  <w:numPicBullet w:numPicBulletId="5">
    <w:pict>
      <v:shape id="_x0000_i1030" type="#_x0000_t75" style="width:12pt;height:7.2pt" o:bullet="t">
        <v:imagedata r:id="rId6" o:title="HM_SODEXO_Word_Element_PuceRouge_RVB"/>
      </v:shape>
    </w:pict>
  </w:numPicBullet>
  <w:abstractNum w:abstractNumId="0" w15:restartNumberingAfterBreak="0">
    <w:nsid w:val="98C1F9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58F3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19A0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413889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4" w15:restartNumberingAfterBreak="0">
    <w:nsid w:val="FFFFFF7D"/>
    <w:multiLevelType w:val="singleLevel"/>
    <w:tmpl w:val="62B899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5" w15:restartNumberingAfterBreak="0">
    <w:nsid w:val="FFFFFF7E"/>
    <w:multiLevelType w:val="singleLevel"/>
    <w:tmpl w:val="0AB079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6" w15:restartNumberingAfterBreak="0">
    <w:nsid w:val="FFFFFF7F"/>
    <w:multiLevelType w:val="singleLevel"/>
    <w:tmpl w:val="43A8F5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 w15:restartNumberingAfterBreak="0">
    <w:nsid w:val="FFFFFF80"/>
    <w:multiLevelType w:val="singleLevel"/>
    <w:tmpl w:val="11261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DBBA2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BC605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627A3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27AA1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DDB63D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53C085A"/>
    <w:multiLevelType w:val="multilevel"/>
    <w:tmpl w:val="1D023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325BF"/>
    <w:multiLevelType w:val="multilevel"/>
    <w:tmpl w:val="A18C2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FD42AC"/>
    <w:multiLevelType w:val="hybridMultilevel"/>
    <w:tmpl w:val="39BAFC3A"/>
    <w:lvl w:ilvl="0" w:tplc="F74A7D2A">
      <w:start w:val="1"/>
      <w:numFmt w:val="bullet"/>
      <w:pStyle w:val="SChip"/>
      <w:lvlText w:val=""/>
      <w:lvlPicBulletId w:val="5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E3AF4"/>
    <w:multiLevelType w:val="multilevel"/>
    <w:tmpl w:val="BF8C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55F84"/>
    <w:multiLevelType w:val="hybridMultilevel"/>
    <w:tmpl w:val="31EA4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568"/>
    <w:multiLevelType w:val="multilevel"/>
    <w:tmpl w:val="4272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B1C4A"/>
    <w:multiLevelType w:val="multilevel"/>
    <w:tmpl w:val="E6B8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AB6022"/>
    <w:multiLevelType w:val="multilevel"/>
    <w:tmpl w:val="949EF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D003F"/>
    <w:multiLevelType w:val="multilevel"/>
    <w:tmpl w:val="4040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D4FE5"/>
    <w:multiLevelType w:val="multilevel"/>
    <w:tmpl w:val="9FB20976"/>
    <w:lvl w:ilvl="0">
      <w:start w:val="1"/>
      <w:numFmt w:val="decimal"/>
      <w:lvlText w:val="%1."/>
      <w:lvlJc w:val="left"/>
      <w:pPr>
        <w:ind w:left="185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853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775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733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69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49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07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65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3" w:hanging="721"/>
      </w:pPr>
      <w:rPr>
        <w:rFonts w:hint="default"/>
        <w:lang w:val="en-US" w:eastAsia="en-US" w:bidi="ar-SA"/>
      </w:rPr>
    </w:lvl>
  </w:abstractNum>
  <w:abstractNum w:abstractNumId="23" w15:restartNumberingAfterBreak="0">
    <w:nsid w:val="71447E42"/>
    <w:multiLevelType w:val="multilevel"/>
    <w:tmpl w:val="EF62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077EE6"/>
    <w:multiLevelType w:val="multilevel"/>
    <w:tmpl w:val="11BC9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0F8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D79B15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4665913">
    <w:abstractNumId w:val="11"/>
  </w:num>
  <w:num w:numId="2" w16cid:durableId="926495903">
    <w:abstractNumId w:val="6"/>
  </w:num>
  <w:num w:numId="3" w16cid:durableId="394544571">
    <w:abstractNumId w:val="5"/>
  </w:num>
  <w:num w:numId="4" w16cid:durableId="2044552379">
    <w:abstractNumId w:val="4"/>
  </w:num>
  <w:num w:numId="5" w16cid:durableId="756052874">
    <w:abstractNumId w:val="3"/>
  </w:num>
  <w:num w:numId="6" w16cid:durableId="1643389362">
    <w:abstractNumId w:val="12"/>
  </w:num>
  <w:num w:numId="7" w16cid:durableId="1217012521">
    <w:abstractNumId w:val="10"/>
  </w:num>
  <w:num w:numId="8" w16cid:durableId="198203497">
    <w:abstractNumId w:val="9"/>
  </w:num>
  <w:num w:numId="9" w16cid:durableId="1710302726">
    <w:abstractNumId w:val="8"/>
  </w:num>
  <w:num w:numId="10" w16cid:durableId="474834251">
    <w:abstractNumId w:val="7"/>
  </w:num>
  <w:num w:numId="11" w16cid:durableId="859969119">
    <w:abstractNumId w:val="15"/>
  </w:num>
  <w:num w:numId="12" w16cid:durableId="1883444380">
    <w:abstractNumId w:val="22"/>
  </w:num>
  <w:num w:numId="13" w16cid:durableId="805246390">
    <w:abstractNumId w:val="25"/>
  </w:num>
  <w:num w:numId="14" w16cid:durableId="544484332">
    <w:abstractNumId w:val="1"/>
  </w:num>
  <w:num w:numId="15" w16cid:durableId="919288925">
    <w:abstractNumId w:val="26"/>
  </w:num>
  <w:num w:numId="16" w16cid:durableId="2004964520">
    <w:abstractNumId w:val="2"/>
  </w:num>
  <w:num w:numId="17" w16cid:durableId="2071801960">
    <w:abstractNumId w:val="0"/>
  </w:num>
  <w:num w:numId="18" w16cid:durableId="751004782">
    <w:abstractNumId w:val="17"/>
  </w:num>
  <w:num w:numId="19" w16cid:durableId="1132673108">
    <w:abstractNumId w:val="24"/>
  </w:num>
  <w:num w:numId="20" w16cid:durableId="1010185189">
    <w:abstractNumId w:val="13"/>
  </w:num>
  <w:num w:numId="21" w16cid:durableId="500659692">
    <w:abstractNumId w:val="19"/>
  </w:num>
  <w:num w:numId="22" w16cid:durableId="1256668519">
    <w:abstractNumId w:val="21"/>
  </w:num>
  <w:num w:numId="23" w16cid:durableId="1906573753">
    <w:abstractNumId w:val="14"/>
  </w:num>
  <w:num w:numId="24" w16cid:durableId="1954432045">
    <w:abstractNumId w:val="18"/>
  </w:num>
  <w:num w:numId="25" w16cid:durableId="1845170017">
    <w:abstractNumId w:val="16"/>
  </w:num>
  <w:num w:numId="26" w16cid:durableId="903836585">
    <w:abstractNumId w:val="23"/>
  </w:num>
  <w:num w:numId="27" w16cid:durableId="20116362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914"/>
    <w:rsid w:val="00036FB0"/>
    <w:rsid w:val="000434B5"/>
    <w:rsid w:val="00074EED"/>
    <w:rsid w:val="00087566"/>
    <w:rsid w:val="000943EC"/>
    <w:rsid w:val="000F2C1A"/>
    <w:rsid w:val="00115793"/>
    <w:rsid w:val="00152F7E"/>
    <w:rsid w:val="00157068"/>
    <w:rsid w:val="00180787"/>
    <w:rsid w:val="00186C3B"/>
    <w:rsid w:val="001B591C"/>
    <w:rsid w:val="001B6D86"/>
    <w:rsid w:val="001C27DA"/>
    <w:rsid w:val="001D2768"/>
    <w:rsid w:val="001D3695"/>
    <w:rsid w:val="002009D4"/>
    <w:rsid w:val="00253AC3"/>
    <w:rsid w:val="002836DD"/>
    <w:rsid w:val="00293E0C"/>
    <w:rsid w:val="002A1E71"/>
    <w:rsid w:val="002A654D"/>
    <w:rsid w:val="002B6B87"/>
    <w:rsid w:val="002C4983"/>
    <w:rsid w:val="002C508D"/>
    <w:rsid w:val="002D5514"/>
    <w:rsid w:val="002F37D3"/>
    <w:rsid w:val="003345D3"/>
    <w:rsid w:val="00337444"/>
    <w:rsid w:val="00384D41"/>
    <w:rsid w:val="003864AD"/>
    <w:rsid w:val="003933F5"/>
    <w:rsid w:val="003E4717"/>
    <w:rsid w:val="003E68CC"/>
    <w:rsid w:val="004022B4"/>
    <w:rsid w:val="00425677"/>
    <w:rsid w:val="00433EDD"/>
    <w:rsid w:val="00440941"/>
    <w:rsid w:val="0044219E"/>
    <w:rsid w:val="0045216F"/>
    <w:rsid w:val="00480914"/>
    <w:rsid w:val="00481BEF"/>
    <w:rsid w:val="00481F1F"/>
    <w:rsid w:val="004B3DDB"/>
    <w:rsid w:val="004B5C25"/>
    <w:rsid w:val="004D11F5"/>
    <w:rsid w:val="00506FBD"/>
    <w:rsid w:val="00513473"/>
    <w:rsid w:val="00524059"/>
    <w:rsid w:val="00544345"/>
    <w:rsid w:val="00544AC5"/>
    <w:rsid w:val="00555C84"/>
    <w:rsid w:val="005732EA"/>
    <w:rsid w:val="00580827"/>
    <w:rsid w:val="00592424"/>
    <w:rsid w:val="00594B56"/>
    <w:rsid w:val="005B10DA"/>
    <w:rsid w:val="005C775F"/>
    <w:rsid w:val="005E4A40"/>
    <w:rsid w:val="0061682B"/>
    <w:rsid w:val="00646166"/>
    <w:rsid w:val="00655A10"/>
    <w:rsid w:val="00672024"/>
    <w:rsid w:val="006748B7"/>
    <w:rsid w:val="00682310"/>
    <w:rsid w:val="006B5C7E"/>
    <w:rsid w:val="006E19B4"/>
    <w:rsid w:val="006E27BF"/>
    <w:rsid w:val="00710745"/>
    <w:rsid w:val="00755F2E"/>
    <w:rsid w:val="007A46E2"/>
    <w:rsid w:val="007D6127"/>
    <w:rsid w:val="007E317D"/>
    <w:rsid w:val="007E4A36"/>
    <w:rsid w:val="007E5344"/>
    <w:rsid w:val="007F57D0"/>
    <w:rsid w:val="0080313B"/>
    <w:rsid w:val="00805FAA"/>
    <w:rsid w:val="008124BD"/>
    <w:rsid w:val="00815B14"/>
    <w:rsid w:val="00844956"/>
    <w:rsid w:val="00877117"/>
    <w:rsid w:val="008A19F1"/>
    <w:rsid w:val="008B6BB1"/>
    <w:rsid w:val="008F0F07"/>
    <w:rsid w:val="008F2752"/>
    <w:rsid w:val="008F2A13"/>
    <w:rsid w:val="008F31F5"/>
    <w:rsid w:val="008F5288"/>
    <w:rsid w:val="00904F71"/>
    <w:rsid w:val="0092429E"/>
    <w:rsid w:val="00926DE5"/>
    <w:rsid w:val="0093549C"/>
    <w:rsid w:val="009968C5"/>
    <w:rsid w:val="009A1812"/>
    <w:rsid w:val="009A23AB"/>
    <w:rsid w:val="009A47FB"/>
    <w:rsid w:val="009B202B"/>
    <w:rsid w:val="009B47F0"/>
    <w:rsid w:val="009B7162"/>
    <w:rsid w:val="009D180E"/>
    <w:rsid w:val="009E682F"/>
    <w:rsid w:val="009F09EA"/>
    <w:rsid w:val="00A01D35"/>
    <w:rsid w:val="00A06431"/>
    <w:rsid w:val="00A10CE9"/>
    <w:rsid w:val="00A642DB"/>
    <w:rsid w:val="00A944BC"/>
    <w:rsid w:val="00AC7F38"/>
    <w:rsid w:val="00B234F7"/>
    <w:rsid w:val="00B32F4C"/>
    <w:rsid w:val="00B45CB3"/>
    <w:rsid w:val="00B60808"/>
    <w:rsid w:val="00B61A83"/>
    <w:rsid w:val="00B64F18"/>
    <w:rsid w:val="00B92FB1"/>
    <w:rsid w:val="00C10E75"/>
    <w:rsid w:val="00C21B90"/>
    <w:rsid w:val="00C31F14"/>
    <w:rsid w:val="00C52583"/>
    <w:rsid w:val="00C621EB"/>
    <w:rsid w:val="00CA2666"/>
    <w:rsid w:val="00CA6B9D"/>
    <w:rsid w:val="00CA792E"/>
    <w:rsid w:val="00CB0338"/>
    <w:rsid w:val="00CC3D1F"/>
    <w:rsid w:val="00CE1746"/>
    <w:rsid w:val="00CE42A2"/>
    <w:rsid w:val="00CF260D"/>
    <w:rsid w:val="00D20AAC"/>
    <w:rsid w:val="00D265D9"/>
    <w:rsid w:val="00D41DCB"/>
    <w:rsid w:val="00D54C2A"/>
    <w:rsid w:val="00D725FD"/>
    <w:rsid w:val="00DA27E1"/>
    <w:rsid w:val="00DC7837"/>
    <w:rsid w:val="00DD6262"/>
    <w:rsid w:val="00DE72B9"/>
    <w:rsid w:val="00E14002"/>
    <w:rsid w:val="00E227BE"/>
    <w:rsid w:val="00E2489B"/>
    <w:rsid w:val="00E27DE3"/>
    <w:rsid w:val="00E324CF"/>
    <w:rsid w:val="00E34004"/>
    <w:rsid w:val="00E43194"/>
    <w:rsid w:val="00E53D2F"/>
    <w:rsid w:val="00E6732C"/>
    <w:rsid w:val="00E80600"/>
    <w:rsid w:val="00F24452"/>
    <w:rsid w:val="00F5284E"/>
    <w:rsid w:val="00FA062C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D784CA"/>
  <w15:chartTrackingRefBased/>
  <w15:docId w15:val="{E3FD7A25-EB2B-4EE8-8AE5-EA197CBC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">
    <w:name w:val="Normal"/>
    <w:qFormat/>
    <w:rsid w:val="00755F2E"/>
    <w:pPr>
      <w:jc w:val="both"/>
    </w:pPr>
    <w:rPr>
      <w:color w:val="2A295C" w:themeColor="text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3549C"/>
    <w:pPr>
      <w:jc w:val="lef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592424"/>
    <w:rPr>
      <w:color w:val="2A295C" w:themeColor="text2"/>
      <w:sz w:val="14"/>
    </w:rPr>
  </w:style>
  <w:style w:type="paragraph" w:styleId="Footer">
    <w:name w:val="footer"/>
    <w:basedOn w:val="Normal"/>
    <w:link w:val="FooterChar"/>
    <w:uiPriority w:val="99"/>
    <w:semiHidden/>
    <w:rsid w:val="0093549C"/>
    <w:rPr>
      <w:color w:val="34A866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2424"/>
    <w:rPr>
      <w:color w:val="34A866" w:themeColor="accent3"/>
      <w:sz w:val="14"/>
    </w:rPr>
  </w:style>
  <w:style w:type="table" w:styleId="TableGrid">
    <w:name w:val="Table Grid"/>
    <w:basedOn w:val="TableNormal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rsid w:val="0093549C"/>
  </w:style>
  <w:style w:type="character" w:styleId="Hyperlink">
    <w:name w:val="Hyperlink"/>
    <w:basedOn w:val="DefaultParagraphFont"/>
    <w:uiPriority w:val="99"/>
    <w:semiHidden/>
    <w:rsid w:val="0093549C"/>
    <w:rPr>
      <w:color w:val="199CDA" w:themeColor="hyperlink"/>
      <w:u w:val="none"/>
    </w:rPr>
  </w:style>
  <w:style w:type="character" w:styleId="UnresolvedMention">
    <w:name w:val="Unresolved Mention"/>
    <w:basedOn w:val="DefaultParagraphFont"/>
    <w:uiPriority w:val="99"/>
    <w:semiHidden/>
    <w:rsid w:val="009354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621EB"/>
    <w:rPr>
      <w:color w:val="808080"/>
    </w:rPr>
  </w:style>
  <w:style w:type="character" w:styleId="FollowedHyperlink">
    <w:name w:val="FollowedHyperlink"/>
    <w:basedOn w:val="DefaultParagraphFont"/>
    <w:uiPriority w:val="99"/>
    <w:semiHidden/>
    <w:rsid w:val="0093549C"/>
    <w:rPr>
      <w:color w:val="2A295C" w:themeColor="followedHyperlink"/>
      <w:u w:val="none"/>
    </w:rPr>
  </w:style>
  <w:style w:type="paragraph" w:customStyle="1" w:styleId="SPurpose">
    <w:name w:val="S_Purpose"/>
    <w:basedOn w:val="Normal"/>
    <w:next w:val="Normal"/>
    <w:qFormat/>
    <w:rsid w:val="00755F2E"/>
    <w:pPr>
      <w:spacing w:before="600" w:after="600"/>
      <w:jc w:val="left"/>
    </w:pPr>
    <w:rPr>
      <w:b/>
      <w:bCs/>
      <w:color w:val="25359C" w:themeColor="accent1"/>
      <w:sz w:val="28"/>
      <w:szCs w:val="28"/>
    </w:rPr>
  </w:style>
  <w:style w:type="paragraph" w:customStyle="1" w:styleId="SChip">
    <w:name w:val="S_Chip"/>
    <w:basedOn w:val="Normal"/>
    <w:qFormat/>
    <w:rsid w:val="005E4A40"/>
    <w:pPr>
      <w:numPr>
        <w:numId w:val="11"/>
      </w:numPr>
      <w:ind w:left="284" w:hanging="284"/>
    </w:pPr>
  </w:style>
  <w:style w:type="paragraph" w:customStyle="1" w:styleId="Default">
    <w:name w:val="Default"/>
    <w:rsid w:val="005808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.creedon\AppData\Local\Temp\Temp0e1ea0b8-d4bd-4bd3-969d-45a68135f27b_Sodexo_Letter&amp;EnvelopeTemplates_150222.zip\Letter_%20Note_%20Envelope\Sodexo_template_Letter_EN.dotx" TargetMode="External"/></Relationships>
</file>

<file path=word/theme/theme1.xml><?xml version="1.0" encoding="utf-8"?>
<a:theme xmlns:a="http://schemas.openxmlformats.org/drawingml/2006/main" name="Thème Office">
  <a:themeElements>
    <a:clrScheme name="00. Sodexo">
      <a:dk1>
        <a:sysClr val="windowText" lastClr="000000"/>
      </a:dk1>
      <a:lt1>
        <a:sysClr val="window" lastClr="FFFFFF"/>
      </a:lt1>
      <a:dk2>
        <a:srgbClr val="2A295C"/>
      </a:dk2>
      <a:lt2>
        <a:srgbClr val="EE0000"/>
      </a:lt2>
      <a:accent1>
        <a:srgbClr val="25359C"/>
      </a:accent1>
      <a:accent2>
        <a:srgbClr val="199CDA"/>
      </a:accent2>
      <a:accent3>
        <a:srgbClr val="34A866"/>
      </a:accent3>
      <a:accent4>
        <a:srgbClr val="228085"/>
      </a:accent4>
      <a:accent5>
        <a:srgbClr val="915FC8"/>
      </a:accent5>
      <a:accent6>
        <a:srgbClr val="DA558C"/>
      </a:accent6>
      <a:hlink>
        <a:srgbClr val="199CDA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B5E5AD779E844A3096605C74A84FC" ma:contentTypeVersion="13" ma:contentTypeDescription="Crée un document." ma:contentTypeScope="" ma:versionID="462eb96700a2a3ab3632e71445a9a689">
  <xsd:schema xmlns:xsd="http://www.w3.org/2001/XMLSchema" xmlns:xs="http://www.w3.org/2001/XMLSchema" xmlns:p="http://schemas.microsoft.com/office/2006/metadata/properties" xmlns:ns2="90961bd2-8fbd-4b1f-900a-f1784c914ffd" xmlns:ns3="11d1b304-d5f9-40b1-b283-28ec7b569e10" targetNamespace="http://schemas.microsoft.com/office/2006/metadata/properties" ma:root="true" ma:fieldsID="b0d670b486b7bafeef21a2e8da4f84a4" ns2:_="" ns3:_="">
    <xsd:import namespace="90961bd2-8fbd-4b1f-900a-f1784c914ffd"/>
    <xsd:import namespace="11d1b304-d5f9-40b1-b283-28ec7b569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61bd2-8fbd-4b1f-900a-f1784c914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b304-d5f9-40b1-b283-28ec7b569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8B30C-2FC4-4375-BB89-B4C3A5F2BB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D4E42D-CAE0-49FF-9EBB-C91859E41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61bd2-8fbd-4b1f-900a-f1784c914ffd"/>
    <ds:schemaRef ds:uri="11d1b304-d5f9-40b1-b283-28ec7b569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B18B03-1AAB-4C29-BC16-2825E3DAC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933B0-B91F-4B0D-B77C-67B0A851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Sodexo_template_Letter_EN</Template>
  <TotalTime>6</TotalTime>
  <Pages>3</Pages>
  <Words>877</Words>
  <Characters>5001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Modèle</vt:lpstr>
      <vt:lpstr>Modèle</vt:lpstr>
    </vt:vector>
  </TitlesOfParts>
  <Company>Sodexo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</dc:title>
  <dc:subject/>
  <dc:creator>Creedon, Susan</dc:creator>
  <cp:keywords/>
  <dc:description/>
  <cp:lastModifiedBy>Lawlor, James</cp:lastModifiedBy>
  <cp:revision>2</cp:revision>
  <dcterms:created xsi:type="dcterms:W3CDTF">2026-05-29T11:59:00Z</dcterms:created>
  <dcterms:modified xsi:type="dcterms:W3CDTF">2026-05-29T11:59:00Z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0x01010013AB5E5AD779E844A3096605C74A84FC</vt:lpwstr>
  </property>
</Properties>
</file>