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C966"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A6DC079" wp14:editId="7F7DA9F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A1C57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1586C">
                              <w:rPr>
                                <w:color w:val="FFFFFF"/>
                                <w:sz w:val="44"/>
                                <w:szCs w:val="44"/>
                                <w:lang w:val="en-AU"/>
                              </w:rPr>
                              <w:t>SPV General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A6DC07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5A1C57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1586C">
                        <w:rPr>
                          <w:color w:val="FFFFFF"/>
                          <w:sz w:val="44"/>
                          <w:szCs w:val="44"/>
                          <w:lang w:val="en-AU"/>
                        </w:rPr>
                        <w:t>SPV General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2EE3190" wp14:editId="56F02A1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551FCD" w14:textId="77777777" w:rsidR="00366A73" w:rsidRPr="00366A73" w:rsidRDefault="00366A73" w:rsidP="00366A73"/>
    <w:p w14:paraId="55B1DBD4" w14:textId="77777777" w:rsidR="00366A73" w:rsidRPr="00366A73" w:rsidRDefault="00366A73" w:rsidP="00366A73"/>
    <w:p w14:paraId="234B447C" w14:textId="77777777" w:rsidR="00366A73" w:rsidRPr="00366A73" w:rsidRDefault="00366A73" w:rsidP="00366A73"/>
    <w:p w14:paraId="198F152D" w14:textId="77777777" w:rsidR="00366A73" w:rsidRPr="00366A73" w:rsidRDefault="00366A73" w:rsidP="00366A73"/>
    <w:p w14:paraId="212C27CE" w14:textId="77777777" w:rsidR="00366A73" w:rsidRDefault="00366A73" w:rsidP="00366A73"/>
    <w:p w14:paraId="35FFD61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89"/>
        <w:gridCol w:w="403"/>
        <w:gridCol w:w="1307"/>
        <w:gridCol w:w="360"/>
        <w:gridCol w:w="540"/>
        <w:gridCol w:w="810"/>
        <w:gridCol w:w="900"/>
        <w:gridCol w:w="1260"/>
        <w:gridCol w:w="540"/>
        <w:gridCol w:w="1800"/>
        <w:gridCol w:w="972"/>
        <w:gridCol w:w="18"/>
      </w:tblGrid>
      <w:tr w:rsidR="00366A73" w:rsidRPr="00315425" w14:paraId="3CAE214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2C5ECE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E1F2A7E" w14:textId="77777777" w:rsidR="00366A73" w:rsidRPr="00876EDD" w:rsidRDefault="00C206D3" w:rsidP="00161F93">
            <w:pPr>
              <w:spacing w:before="20" w:after="20"/>
              <w:jc w:val="left"/>
              <w:rPr>
                <w:rFonts w:cs="Arial"/>
                <w:color w:val="000000"/>
                <w:szCs w:val="20"/>
              </w:rPr>
            </w:pPr>
            <w:r>
              <w:rPr>
                <w:rFonts w:cs="Arial"/>
                <w:color w:val="000000"/>
                <w:szCs w:val="20"/>
              </w:rPr>
              <w:t>Finance</w:t>
            </w:r>
          </w:p>
        </w:tc>
      </w:tr>
      <w:tr w:rsidR="00366A73" w:rsidRPr="00315425" w14:paraId="6848623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F3F843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2C059F8" w14:textId="77777777" w:rsidR="00366A73" w:rsidRPr="00CC21AB" w:rsidRDefault="0030606A" w:rsidP="00161F93">
            <w:pPr>
              <w:pStyle w:val="Heading2"/>
              <w:rPr>
                <w:lang w:val="en-CA"/>
              </w:rPr>
            </w:pPr>
            <w:r>
              <w:rPr>
                <w:lang w:val="en-CA"/>
              </w:rPr>
              <w:t>SPV General Manager</w:t>
            </w:r>
          </w:p>
        </w:tc>
      </w:tr>
      <w:tr w:rsidR="00366A73" w:rsidRPr="00315425" w14:paraId="7F05896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BED0A7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FB71DF9" w14:textId="77777777" w:rsidR="00366A73" w:rsidRPr="00876EDD" w:rsidRDefault="0031586C" w:rsidP="00161F93">
            <w:pPr>
              <w:spacing w:before="20" w:after="20"/>
              <w:jc w:val="left"/>
              <w:rPr>
                <w:rFonts w:cs="Arial"/>
                <w:color w:val="000000"/>
                <w:szCs w:val="20"/>
              </w:rPr>
            </w:pPr>
            <w:r>
              <w:rPr>
                <w:rFonts w:cs="Arial"/>
                <w:color w:val="000000"/>
                <w:szCs w:val="20"/>
              </w:rPr>
              <w:t>tbc</w:t>
            </w:r>
          </w:p>
        </w:tc>
      </w:tr>
      <w:tr w:rsidR="00366A73" w:rsidRPr="00315425" w14:paraId="6960DA9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275649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A036BE" w14:textId="77777777" w:rsidR="00366A73" w:rsidRDefault="0031586C" w:rsidP="00161F93">
            <w:pPr>
              <w:spacing w:before="20" w:after="20"/>
              <w:jc w:val="left"/>
              <w:rPr>
                <w:rFonts w:cs="Arial"/>
                <w:color w:val="000000"/>
                <w:szCs w:val="20"/>
              </w:rPr>
            </w:pPr>
            <w:r>
              <w:rPr>
                <w:rFonts w:cs="Arial"/>
                <w:color w:val="000000"/>
                <w:szCs w:val="20"/>
              </w:rPr>
              <w:t>tbc</w:t>
            </w:r>
          </w:p>
        </w:tc>
      </w:tr>
      <w:tr w:rsidR="00366A73" w:rsidRPr="00315425" w14:paraId="2FDC8BB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3AF665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AF6F9DE" w14:textId="44DF7655" w:rsidR="00366A73" w:rsidRPr="00876EDD" w:rsidRDefault="00C206D3" w:rsidP="00366A73">
            <w:pPr>
              <w:spacing w:before="20" w:after="20"/>
              <w:jc w:val="left"/>
              <w:rPr>
                <w:rFonts w:cs="Arial"/>
                <w:color w:val="000000"/>
                <w:szCs w:val="20"/>
              </w:rPr>
            </w:pPr>
            <w:r>
              <w:rPr>
                <w:rFonts w:cs="Arial"/>
                <w:color w:val="000000"/>
                <w:szCs w:val="20"/>
              </w:rPr>
              <w:t>Finance Director</w:t>
            </w:r>
            <w:r w:rsidR="003B2817">
              <w:rPr>
                <w:rFonts w:cs="Arial"/>
                <w:color w:val="000000"/>
                <w:szCs w:val="20"/>
              </w:rPr>
              <w:t xml:space="preserve"> UK Government</w:t>
            </w:r>
          </w:p>
        </w:tc>
      </w:tr>
      <w:tr w:rsidR="00366A73" w:rsidRPr="00315425" w14:paraId="2DBC2FF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AE8018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18F9E63" w14:textId="77777777" w:rsidR="00366A73" w:rsidRDefault="00366A73" w:rsidP="00366A73">
            <w:pPr>
              <w:spacing w:before="20" w:after="20"/>
              <w:jc w:val="left"/>
              <w:rPr>
                <w:rFonts w:cs="Arial"/>
                <w:color w:val="000000"/>
                <w:szCs w:val="20"/>
              </w:rPr>
            </w:pPr>
          </w:p>
        </w:tc>
      </w:tr>
      <w:tr w:rsidR="00366A73" w:rsidRPr="00315425" w14:paraId="4BB5EF6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88846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B4B1D75" w14:textId="401DF673" w:rsidR="00366A73" w:rsidRDefault="00D55F18" w:rsidP="00161F93">
            <w:pPr>
              <w:spacing w:before="20" w:after="20"/>
              <w:jc w:val="left"/>
              <w:rPr>
                <w:rFonts w:cs="Arial"/>
                <w:color w:val="000000"/>
                <w:szCs w:val="20"/>
              </w:rPr>
            </w:pPr>
            <w:r>
              <w:rPr>
                <w:rFonts w:cs="Arial"/>
                <w:color w:val="000000"/>
                <w:szCs w:val="20"/>
              </w:rPr>
              <w:t>Flexible (must be able to travel</w:t>
            </w:r>
            <w:r w:rsidR="003B2817">
              <w:rPr>
                <w:rFonts w:cs="Arial"/>
                <w:color w:val="000000"/>
                <w:szCs w:val="20"/>
              </w:rPr>
              <w:t>)</w:t>
            </w:r>
          </w:p>
        </w:tc>
      </w:tr>
      <w:tr w:rsidR="00366A73" w:rsidRPr="00315425" w14:paraId="3C387F4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DAD99A9" w14:textId="77777777" w:rsidR="00366A73" w:rsidRDefault="00366A73" w:rsidP="00161F93">
            <w:pPr>
              <w:jc w:val="left"/>
              <w:rPr>
                <w:rFonts w:cs="Arial"/>
                <w:sz w:val="10"/>
                <w:szCs w:val="20"/>
              </w:rPr>
            </w:pPr>
          </w:p>
          <w:p w14:paraId="27ECA311" w14:textId="77777777" w:rsidR="00366A73" w:rsidRPr="00315425" w:rsidRDefault="00366A73" w:rsidP="00161F93">
            <w:pPr>
              <w:jc w:val="left"/>
              <w:rPr>
                <w:rFonts w:cs="Arial"/>
                <w:sz w:val="10"/>
                <w:szCs w:val="20"/>
              </w:rPr>
            </w:pPr>
          </w:p>
        </w:tc>
      </w:tr>
      <w:tr w:rsidR="00366A73" w:rsidRPr="00315425" w14:paraId="20FD926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E77477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1BA204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AE70C2E" w14:textId="412914F7" w:rsidR="00366A73" w:rsidRDefault="00377DC4" w:rsidP="00F479E6">
            <w:pPr>
              <w:pStyle w:val="Puces4"/>
              <w:numPr>
                <w:ilvl w:val="0"/>
                <w:numId w:val="2"/>
              </w:numPr>
              <w:rPr>
                <w:color w:val="000000" w:themeColor="text1"/>
              </w:rPr>
            </w:pPr>
            <w:r>
              <w:rPr>
                <w:color w:val="000000" w:themeColor="text1"/>
              </w:rPr>
              <w:t xml:space="preserve">Act as </w:t>
            </w:r>
            <w:r w:rsidR="00C206D3">
              <w:rPr>
                <w:color w:val="000000" w:themeColor="text1"/>
              </w:rPr>
              <w:t>General Manager of 4</w:t>
            </w:r>
            <w:r w:rsidR="00BB584E">
              <w:rPr>
                <w:color w:val="000000" w:themeColor="text1"/>
              </w:rPr>
              <w:t xml:space="preserve"> </w:t>
            </w:r>
            <w:r w:rsidR="0003620F">
              <w:rPr>
                <w:color w:val="000000" w:themeColor="text1"/>
              </w:rPr>
              <w:t xml:space="preserve">PFI </w:t>
            </w:r>
            <w:r w:rsidR="0031586C">
              <w:rPr>
                <w:color w:val="000000" w:themeColor="text1"/>
              </w:rPr>
              <w:t xml:space="preserve">Custodial </w:t>
            </w:r>
            <w:r w:rsidR="0003620F">
              <w:rPr>
                <w:color w:val="000000" w:themeColor="text1"/>
              </w:rPr>
              <w:t>Special Purpose Vehicles</w:t>
            </w:r>
            <w:r w:rsidR="003B2817">
              <w:rPr>
                <w:color w:val="000000" w:themeColor="text1"/>
              </w:rPr>
              <w:t xml:space="preserve"> contracts</w:t>
            </w:r>
            <w:r w:rsidR="0003620F">
              <w:rPr>
                <w:color w:val="000000" w:themeColor="text1"/>
              </w:rPr>
              <w:t xml:space="preserve"> (SPV)</w:t>
            </w:r>
            <w:r w:rsidR="00A80A48">
              <w:rPr>
                <w:color w:val="000000" w:themeColor="text1"/>
              </w:rPr>
              <w:t>, key liaison between the MOJ, the SPV and Sodexo in all contractual and commercial matters</w:t>
            </w:r>
          </w:p>
          <w:p w14:paraId="4CCB1D79" w14:textId="7DD29792" w:rsidR="00745A24" w:rsidRDefault="00377DC4" w:rsidP="00F479E6">
            <w:pPr>
              <w:pStyle w:val="Puces4"/>
              <w:numPr>
                <w:ilvl w:val="0"/>
                <w:numId w:val="2"/>
              </w:numPr>
              <w:rPr>
                <w:color w:val="000000" w:themeColor="text1"/>
              </w:rPr>
            </w:pPr>
            <w:r>
              <w:rPr>
                <w:color w:val="000000" w:themeColor="text1"/>
              </w:rPr>
              <w:t xml:space="preserve">Provide </w:t>
            </w:r>
            <w:r w:rsidR="001374F0">
              <w:rPr>
                <w:color w:val="000000" w:themeColor="text1"/>
              </w:rPr>
              <w:t>internal c</w:t>
            </w:r>
            <w:r w:rsidR="0003620F">
              <w:rPr>
                <w:color w:val="000000" w:themeColor="text1"/>
              </w:rPr>
              <w:t xml:space="preserve">ontractual </w:t>
            </w:r>
            <w:r w:rsidR="001374F0">
              <w:rPr>
                <w:color w:val="000000" w:themeColor="text1"/>
              </w:rPr>
              <w:t>s</w:t>
            </w:r>
            <w:r w:rsidR="0003620F">
              <w:rPr>
                <w:color w:val="000000" w:themeColor="text1"/>
              </w:rPr>
              <w:t xml:space="preserve">upport to </w:t>
            </w:r>
            <w:r w:rsidR="00A80A48">
              <w:rPr>
                <w:color w:val="000000" w:themeColor="text1"/>
              </w:rPr>
              <w:t>6</w:t>
            </w:r>
            <w:r w:rsidR="0003620F">
              <w:rPr>
                <w:color w:val="000000" w:themeColor="text1"/>
              </w:rPr>
              <w:t xml:space="preserve"> </w:t>
            </w:r>
            <w:r w:rsidR="001374F0">
              <w:rPr>
                <w:color w:val="000000" w:themeColor="text1"/>
              </w:rPr>
              <w:t>Custodial c</w:t>
            </w:r>
            <w:r w:rsidR="0003620F">
              <w:rPr>
                <w:color w:val="000000" w:themeColor="text1"/>
              </w:rPr>
              <w:t>ontracts</w:t>
            </w:r>
            <w:r w:rsidR="0031586C">
              <w:rPr>
                <w:color w:val="000000" w:themeColor="text1"/>
              </w:rPr>
              <w:t xml:space="preserve"> (PFI and Non PFI)</w:t>
            </w:r>
          </w:p>
          <w:p w14:paraId="70D3A050" w14:textId="77777777" w:rsidR="0003620F" w:rsidRPr="00F479E6" w:rsidRDefault="0003620F" w:rsidP="00A80A48">
            <w:pPr>
              <w:pStyle w:val="Puces4"/>
              <w:numPr>
                <w:ilvl w:val="0"/>
                <w:numId w:val="2"/>
              </w:numPr>
              <w:rPr>
                <w:color w:val="000000" w:themeColor="text1"/>
              </w:rPr>
            </w:pPr>
          </w:p>
        </w:tc>
      </w:tr>
      <w:tr w:rsidR="00366A73" w:rsidRPr="00315425" w14:paraId="06EBF6F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C748647" w14:textId="77777777" w:rsidR="00366A73" w:rsidRDefault="00366A73" w:rsidP="00161F93">
            <w:pPr>
              <w:jc w:val="left"/>
              <w:rPr>
                <w:rFonts w:cs="Arial"/>
                <w:sz w:val="10"/>
                <w:szCs w:val="20"/>
              </w:rPr>
            </w:pPr>
          </w:p>
          <w:p w14:paraId="7D5026C3" w14:textId="77777777" w:rsidR="00366A73" w:rsidRPr="00315425" w:rsidRDefault="00366A73" w:rsidP="00161F93">
            <w:pPr>
              <w:jc w:val="left"/>
              <w:rPr>
                <w:rFonts w:cs="Arial"/>
                <w:sz w:val="10"/>
                <w:szCs w:val="20"/>
              </w:rPr>
            </w:pPr>
          </w:p>
        </w:tc>
      </w:tr>
      <w:tr w:rsidR="00366A73" w:rsidRPr="00315425" w14:paraId="616B450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56CFE7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6D02279" w14:textId="77777777" w:rsidTr="00247B50">
        <w:trPr>
          <w:trHeight w:val="232"/>
        </w:trPr>
        <w:tc>
          <w:tcPr>
            <w:tcW w:w="959" w:type="dxa"/>
            <w:vMerge w:val="restart"/>
            <w:tcBorders>
              <w:top w:val="dotted" w:sz="2" w:space="0" w:color="auto"/>
              <w:left w:val="single" w:sz="2" w:space="0" w:color="auto"/>
              <w:right w:val="nil"/>
            </w:tcBorders>
            <w:vAlign w:val="center"/>
          </w:tcPr>
          <w:p w14:paraId="6B439B38" w14:textId="036CB83B" w:rsidR="00366A73" w:rsidRPr="007C0E94" w:rsidRDefault="009E6941" w:rsidP="00247B50">
            <w:pPr>
              <w:rPr>
                <w:sz w:val="18"/>
                <w:szCs w:val="18"/>
              </w:rPr>
            </w:pPr>
            <w:r>
              <w:rPr>
                <w:sz w:val="18"/>
                <w:szCs w:val="18"/>
              </w:rPr>
              <w:t>Annual revenue</w:t>
            </w:r>
          </w:p>
        </w:tc>
        <w:tc>
          <w:tcPr>
            <w:tcW w:w="992" w:type="dxa"/>
            <w:gridSpan w:val="2"/>
            <w:vMerge w:val="restart"/>
            <w:tcBorders>
              <w:top w:val="dotted" w:sz="2" w:space="0" w:color="auto"/>
              <w:left w:val="nil"/>
              <w:right w:val="dotted" w:sz="2" w:space="0" w:color="auto"/>
            </w:tcBorders>
            <w:vAlign w:val="center"/>
          </w:tcPr>
          <w:p w14:paraId="1BA69B59" w14:textId="77777777" w:rsidR="00366A73" w:rsidRPr="007C0E94" w:rsidRDefault="00366A73" w:rsidP="00247B50">
            <w:pPr>
              <w:rPr>
                <w:sz w:val="18"/>
                <w:szCs w:val="18"/>
              </w:rPr>
            </w:pPr>
          </w:p>
        </w:tc>
        <w:tc>
          <w:tcPr>
            <w:tcW w:w="1667" w:type="dxa"/>
            <w:gridSpan w:val="2"/>
            <w:tcBorders>
              <w:top w:val="dotted" w:sz="2" w:space="0" w:color="auto"/>
              <w:left w:val="dotted" w:sz="2" w:space="0" w:color="auto"/>
              <w:bottom w:val="dotted" w:sz="4" w:space="0" w:color="auto"/>
              <w:right w:val="nil"/>
            </w:tcBorders>
            <w:vAlign w:val="center"/>
          </w:tcPr>
          <w:p w14:paraId="61A25D4D" w14:textId="0268C322" w:rsidR="00366A73" w:rsidRPr="007C0E94" w:rsidRDefault="00366A73" w:rsidP="00161F93">
            <w:pPr>
              <w:rPr>
                <w:sz w:val="18"/>
                <w:szCs w:val="18"/>
              </w:rPr>
            </w:pPr>
          </w:p>
        </w:tc>
        <w:tc>
          <w:tcPr>
            <w:tcW w:w="540" w:type="dxa"/>
            <w:tcBorders>
              <w:top w:val="dotted" w:sz="2" w:space="0" w:color="auto"/>
              <w:left w:val="nil"/>
              <w:bottom w:val="dotted" w:sz="4" w:space="0" w:color="auto"/>
              <w:right w:val="dotted" w:sz="4" w:space="0" w:color="auto"/>
            </w:tcBorders>
            <w:vAlign w:val="center"/>
          </w:tcPr>
          <w:p w14:paraId="2CE2471D"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7FCEEBD6" w14:textId="77777777"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403A7BCF" w14:textId="77777777"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14:paraId="1EAC92D6" w14:textId="77777777" w:rsidR="00366A73" w:rsidRPr="007C0E94" w:rsidRDefault="00366A73" w:rsidP="00161F93">
            <w:pPr>
              <w:rPr>
                <w:sz w:val="18"/>
                <w:szCs w:val="18"/>
              </w:rPr>
            </w:pPr>
          </w:p>
        </w:tc>
        <w:tc>
          <w:tcPr>
            <w:tcW w:w="540" w:type="dxa"/>
            <w:vMerge w:val="restart"/>
            <w:tcBorders>
              <w:top w:val="dotted" w:sz="2" w:space="0" w:color="auto"/>
              <w:left w:val="nil"/>
              <w:right w:val="dotted" w:sz="4" w:space="0" w:color="auto"/>
            </w:tcBorders>
            <w:vAlign w:val="center"/>
          </w:tcPr>
          <w:p w14:paraId="5D89DF07"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0D3DEDBB" w14:textId="77777777"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1BD5DEC6" w14:textId="77777777" w:rsidR="00366A73" w:rsidRPr="007C0E94" w:rsidRDefault="00366A73" w:rsidP="00161F93">
            <w:pPr>
              <w:rPr>
                <w:sz w:val="18"/>
                <w:szCs w:val="18"/>
              </w:rPr>
            </w:pPr>
          </w:p>
        </w:tc>
      </w:tr>
      <w:tr w:rsidR="00386343" w:rsidRPr="007C0E94" w14:paraId="77215BC4" w14:textId="77777777" w:rsidTr="00247B50">
        <w:trPr>
          <w:trHeight w:val="263"/>
        </w:trPr>
        <w:tc>
          <w:tcPr>
            <w:tcW w:w="959" w:type="dxa"/>
            <w:vMerge/>
            <w:tcBorders>
              <w:left w:val="single" w:sz="2" w:space="0" w:color="auto"/>
              <w:right w:val="nil"/>
            </w:tcBorders>
            <w:vAlign w:val="center"/>
          </w:tcPr>
          <w:p w14:paraId="29C78647" w14:textId="77777777" w:rsidR="00386343" w:rsidRPr="007C0E94" w:rsidRDefault="00386343" w:rsidP="00386343">
            <w:pPr>
              <w:rPr>
                <w:sz w:val="18"/>
                <w:szCs w:val="18"/>
              </w:rPr>
            </w:pPr>
          </w:p>
        </w:tc>
        <w:tc>
          <w:tcPr>
            <w:tcW w:w="992" w:type="dxa"/>
            <w:gridSpan w:val="2"/>
            <w:vMerge/>
            <w:tcBorders>
              <w:left w:val="nil"/>
              <w:right w:val="dotted" w:sz="2" w:space="0" w:color="auto"/>
            </w:tcBorders>
            <w:vAlign w:val="center"/>
          </w:tcPr>
          <w:p w14:paraId="66771141" w14:textId="77777777" w:rsidR="00386343" w:rsidRPr="007C0E94" w:rsidRDefault="00386343" w:rsidP="00386343">
            <w:pPr>
              <w:rPr>
                <w:sz w:val="18"/>
                <w:szCs w:val="18"/>
              </w:rPr>
            </w:pPr>
          </w:p>
        </w:tc>
        <w:tc>
          <w:tcPr>
            <w:tcW w:w="1667" w:type="dxa"/>
            <w:gridSpan w:val="2"/>
            <w:tcBorders>
              <w:top w:val="dotted" w:sz="4" w:space="0" w:color="auto"/>
              <w:left w:val="dotted" w:sz="2" w:space="0" w:color="auto"/>
              <w:bottom w:val="dotted" w:sz="4" w:space="0" w:color="auto"/>
              <w:right w:val="nil"/>
            </w:tcBorders>
            <w:vAlign w:val="center"/>
          </w:tcPr>
          <w:p w14:paraId="00DDE50D" w14:textId="5251404F" w:rsidR="00386343" w:rsidRPr="007C0E94" w:rsidRDefault="00386343" w:rsidP="00386343">
            <w:pPr>
              <w:rPr>
                <w:sz w:val="18"/>
                <w:szCs w:val="18"/>
              </w:rPr>
            </w:pPr>
            <w:r>
              <w:rPr>
                <w:sz w:val="18"/>
                <w:szCs w:val="18"/>
              </w:rPr>
              <w:t>€270m</w:t>
            </w:r>
          </w:p>
        </w:tc>
        <w:tc>
          <w:tcPr>
            <w:tcW w:w="540" w:type="dxa"/>
            <w:tcBorders>
              <w:top w:val="dotted" w:sz="4" w:space="0" w:color="auto"/>
              <w:left w:val="nil"/>
              <w:bottom w:val="dotted" w:sz="4" w:space="0" w:color="auto"/>
              <w:right w:val="dotted" w:sz="4" w:space="0" w:color="auto"/>
            </w:tcBorders>
            <w:vAlign w:val="center"/>
          </w:tcPr>
          <w:p w14:paraId="5BA8CF8E" w14:textId="77777777" w:rsidR="00386343" w:rsidRPr="007C0E94" w:rsidRDefault="00386343" w:rsidP="00386343">
            <w:pPr>
              <w:rPr>
                <w:sz w:val="18"/>
                <w:szCs w:val="18"/>
              </w:rPr>
            </w:pPr>
          </w:p>
        </w:tc>
        <w:tc>
          <w:tcPr>
            <w:tcW w:w="810" w:type="dxa"/>
            <w:vMerge/>
            <w:tcBorders>
              <w:left w:val="dotted" w:sz="4" w:space="0" w:color="auto"/>
              <w:right w:val="nil"/>
            </w:tcBorders>
            <w:vAlign w:val="center"/>
          </w:tcPr>
          <w:p w14:paraId="762F5E63" w14:textId="77777777" w:rsidR="00386343" w:rsidRPr="007C0E94" w:rsidRDefault="00386343" w:rsidP="00386343">
            <w:pPr>
              <w:rPr>
                <w:sz w:val="18"/>
                <w:szCs w:val="18"/>
              </w:rPr>
            </w:pPr>
          </w:p>
        </w:tc>
        <w:tc>
          <w:tcPr>
            <w:tcW w:w="900" w:type="dxa"/>
            <w:vMerge/>
            <w:tcBorders>
              <w:left w:val="nil"/>
              <w:right w:val="nil"/>
            </w:tcBorders>
            <w:vAlign w:val="center"/>
          </w:tcPr>
          <w:p w14:paraId="12450589" w14:textId="77777777" w:rsidR="00386343" w:rsidRPr="007C0E94" w:rsidRDefault="00386343" w:rsidP="00386343">
            <w:pPr>
              <w:rPr>
                <w:sz w:val="18"/>
                <w:szCs w:val="18"/>
              </w:rPr>
            </w:pPr>
          </w:p>
        </w:tc>
        <w:tc>
          <w:tcPr>
            <w:tcW w:w="1260" w:type="dxa"/>
            <w:vMerge/>
            <w:tcBorders>
              <w:left w:val="dotted" w:sz="4" w:space="0" w:color="auto"/>
              <w:bottom w:val="dotted" w:sz="4" w:space="0" w:color="auto"/>
              <w:right w:val="nil"/>
            </w:tcBorders>
            <w:vAlign w:val="center"/>
          </w:tcPr>
          <w:p w14:paraId="7CF21F20" w14:textId="77777777" w:rsidR="00386343" w:rsidRPr="007C0E94" w:rsidRDefault="00386343" w:rsidP="00386343">
            <w:pPr>
              <w:rPr>
                <w:sz w:val="18"/>
                <w:szCs w:val="18"/>
              </w:rPr>
            </w:pPr>
          </w:p>
        </w:tc>
        <w:tc>
          <w:tcPr>
            <w:tcW w:w="540" w:type="dxa"/>
            <w:vMerge/>
            <w:tcBorders>
              <w:left w:val="nil"/>
              <w:bottom w:val="dotted" w:sz="4" w:space="0" w:color="auto"/>
              <w:right w:val="dotted" w:sz="4" w:space="0" w:color="auto"/>
            </w:tcBorders>
            <w:vAlign w:val="center"/>
          </w:tcPr>
          <w:p w14:paraId="6FA0FDF7" w14:textId="77777777" w:rsidR="00386343" w:rsidRPr="007C0E94" w:rsidRDefault="00386343" w:rsidP="00386343">
            <w:pPr>
              <w:rPr>
                <w:sz w:val="18"/>
                <w:szCs w:val="18"/>
              </w:rPr>
            </w:pPr>
          </w:p>
        </w:tc>
        <w:tc>
          <w:tcPr>
            <w:tcW w:w="1800" w:type="dxa"/>
            <w:vMerge/>
            <w:tcBorders>
              <w:left w:val="dotted" w:sz="4" w:space="0" w:color="auto"/>
              <w:bottom w:val="dotted" w:sz="4" w:space="0" w:color="auto"/>
              <w:right w:val="nil"/>
            </w:tcBorders>
            <w:vAlign w:val="center"/>
          </w:tcPr>
          <w:p w14:paraId="0E3BE9F0" w14:textId="77777777" w:rsidR="00386343" w:rsidRPr="007C0E94" w:rsidRDefault="00386343" w:rsidP="00386343">
            <w:pPr>
              <w:rPr>
                <w:sz w:val="18"/>
                <w:szCs w:val="18"/>
              </w:rPr>
            </w:pPr>
          </w:p>
        </w:tc>
        <w:tc>
          <w:tcPr>
            <w:tcW w:w="990" w:type="dxa"/>
            <w:gridSpan w:val="2"/>
            <w:vMerge/>
            <w:tcBorders>
              <w:left w:val="nil"/>
              <w:bottom w:val="dotted" w:sz="4" w:space="0" w:color="auto"/>
              <w:right w:val="single" w:sz="2" w:space="0" w:color="auto"/>
            </w:tcBorders>
            <w:vAlign w:val="center"/>
          </w:tcPr>
          <w:p w14:paraId="2B8A63BF" w14:textId="77777777" w:rsidR="00386343" w:rsidRPr="007C0E94" w:rsidRDefault="00386343" w:rsidP="00386343">
            <w:pPr>
              <w:rPr>
                <w:sz w:val="18"/>
                <w:szCs w:val="18"/>
              </w:rPr>
            </w:pPr>
          </w:p>
        </w:tc>
      </w:tr>
      <w:tr w:rsidR="00386343" w:rsidRPr="007C0E94" w14:paraId="5A0FC70B" w14:textId="77777777" w:rsidTr="00247B50">
        <w:trPr>
          <w:trHeight w:val="263"/>
        </w:trPr>
        <w:tc>
          <w:tcPr>
            <w:tcW w:w="959" w:type="dxa"/>
            <w:vMerge/>
            <w:tcBorders>
              <w:left w:val="single" w:sz="2" w:space="0" w:color="auto"/>
              <w:right w:val="nil"/>
            </w:tcBorders>
            <w:vAlign w:val="center"/>
          </w:tcPr>
          <w:p w14:paraId="55CA760C" w14:textId="77777777" w:rsidR="00386343" w:rsidRPr="007C0E94" w:rsidRDefault="00386343" w:rsidP="00386343">
            <w:pPr>
              <w:rPr>
                <w:sz w:val="18"/>
                <w:szCs w:val="18"/>
              </w:rPr>
            </w:pPr>
          </w:p>
        </w:tc>
        <w:tc>
          <w:tcPr>
            <w:tcW w:w="992" w:type="dxa"/>
            <w:gridSpan w:val="2"/>
            <w:vMerge/>
            <w:tcBorders>
              <w:left w:val="nil"/>
              <w:right w:val="dotted" w:sz="2" w:space="0" w:color="auto"/>
            </w:tcBorders>
            <w:vAlign w:val="center"/>
          </w:tcPr>
          <w:p w14:paraId="531F9056" w14:textId="77777777" w:rsidR="00386343" w:rsidRPr="007C0E94" w:rsidRDefault="00386343" w:rsidP="00386343">
            <w:pPr>
              <w:rPr>
                <w:sz w:val="18"/>
                <w:szCs w:val="18"/>
              </w:rPr>
            </w:pPr>
          </w:p>
        </w:tc>
        <w:tc>
          <w:tcPr>
            <w:tcW w:w="1667" w:type="dxa"/>
            <w:gridSpan w:val="2"/>
            <w:tcBorders>
              <w:top w:val="dotted" w:sz="4" w:space="0" w:color="auto"/>
              <w:left w:val="dotted" w:sz="2" w:space="0" w:color="auto"/>
              <w:bottom w:val="dotted" w:sz="4" w:space="0" w:color="auto"/>
              <w:right w:val="nil"/>
            </w:tcBorders>
            <w:vAlign w:val="center"/>
          </w:tcPr>
          <w:p w14:paraId="7CF1153F" w14:textId="77777777" w:rsidR="00386343" w:rsidRPr="007C0E94" w:rsidRDefault="00386343" w:rsidP="0038634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47C90234" w14:textId="77777777" w:rsidR="00386343" w:rsidRPr="007C0E94" w:rsidRDefault="00386343" w:rsidP="00386343">
            <w:pPr>
              <w:rPr>
                <w:sz w:val="18"/>
                <w:szCs w:val="18"/>
              </w:rPr>
            </w:pPr>
          </w:p>
        </w:tc>
        <w:tc>
          <w:tcPr>
            <w:tcW w:w="810" w:type="dxa"/>
            <w:vMerge/>
            <w:tcBorders>
              <w:left w:val="dotted" w:sz="4" w:space="0" w:color="auto"/>
              <w:right w:val="nil"/>
            </w:tcBorders>
            <w:vAlign w:val="center"/>
          </w:tcPr>
          <w:p w14:paraId="05666986" w14:textId="77777777" w:rsidR="00386343" w:rsidRPr="007C0E94" w:rsidRDefault="00386343" w:rsidP="00386343">
            <w:pPr>
              <w:rPr>
                <w:sz w:val="18"/>
                <w:szCs w:val="18"/>
              </w:rPr>
            </w:pPr>
          </w:p>
        </w:tc>
        <w:tc>
          <w:tcPr>
            <w:tcW w:w="900" w:type="dxa"/>
            <w:vMerge/>
            <w:tcBorders>
              <w:left w:val="nil"/>
              <w:right w:val="nil"/>
            </w:tcBorders>
            <w:vAlign w:val="center"/>
          </w:tcPr>
          <w:p w14:paraId="44EAEAFC" w14:textId="77777777" w:rsidR="00386343" w:rsidRPr="007C0E94" w:rsidRDefault="00386343" w:rsidP="00386343">
            <w:pPr>
              <w:rPr>
                <w:sz w:val="18"/>
                <w:szCs w:val="18"/>
              </w:rPr>
            </w:pPr>
          </w:p>
        </w:tc>
        <w:tc>
          <w:tcPr>
            <w:tcW w:w="1260" w:type="dxa"/>
            <w:vMerge w:val="restart"/>
            <w:tcBorders>
              <w:top w:val="dotted" w:sz="4" w:space="0" w:color="auto"/>
              <w:left w:val="dotted" w:sz="4" w:space="0" w:color="auto"/>
              <w:right w:val="nil"/>
            </w:tcBorders>
            <w:vAlign w:val="center"/>
          </w:tcPr>
          <w:p w14:paraId="03458CF5" w14:textId="77777777" w:rsidR="00386343" w:rsidRPr="007C0E94" w:rsidRDefault="00386343" w:rsidP="00386343">
            <w:pPr>
              <w:rPr>
                <w:sz w:val="18"/>
                <w:szCs w:val="18"/>
              </w:rPr>
            </w:pPr>
          </w:p>
        </w:tc>
        <w:tc>
          <w:tcPr>
            <w:tcW w:w="540" w:type="dxa"/>
            <w:vMerge w:val="restart"/>
            <w:tcBorders>
              <w:top w:val="dotted" w:sz="4" w:space="0" w:color="auto"/>
              <w:left w:val="nil"/>
              <w:right w:val="dotted" w:sz="4" w:space="0" w:color="auto"/>
            </w:tcBorders>
            <w:vAlign w:val="center"/>
          </w:tcPr>
          <w:p w14:paraId="1E3D4A74" w14:textId="77777777" w:rsidR="00386343" w:rsidRPr="007C0E94" w:rsidRDefault="00386343" w:rsidP="00386343">
            <w:pPr>
              <w:rPr>
                <w:sz w:val="18"/>
                <w:szCs w:val="18"/>
              </w:rPr>
            </w:pPr>
          </w:p>
        </w:tc>
        <w:tc>
          <w:tcPr>
            <w:tcW w:w="1800" w:type="dxa"/>
            <w:vMerge w:val="restart"/>
            <w:tcBorders>
              <w:top w:val="dotted" w:sz="4" w:space="0" w:color="auto"/>
              <w:left w:val="dotted" w:sz="4" w:space="0" w:color="auto"/>
              <w:right w:val="nil"/>
            </w:tcBorders>
            <w:vAlign w:val="center"/>
          </w:tcPr>
          <w:p w14:paraId="305E0781" w14:textId="77777777" w:rsidR="00386343" w:rsidRPr="008071F4" w:rsidRDefault="00386343" w:rsidP="00386343">
            <w:pPr>
              <w:rPr>
                <w:sz w:val="18"/>
                <w:szCs w:val="18"/>
              </w:rPr>
            </w:pPr>
          </w:p>
        </w:tc>
        <w:tc>
          <w:tcPr>
            <w:tcW w:w="990" w:type="dxa"/>
            <w:gridSpan w:val="2"/>
            <w:vMerge w:val="restart"/>
            <w:tcBorders>
              <w:top w:val="dotted" w:sz="4" w:space="0" w:color="auto"/>
              <w:left w:val="nil"/>
              <w:right w:val="single" w:sz="2" w:space="0" w:color="auto"/>
            </w:tcBorders>
            <w:vAlign w:val="center"/>
          </w:tcPr>
          <w:p w14:paraId="2252B5A9" w14:textId="77777777" w:rsidR="00386343" w:rsidRPr="007C0E94" w:rsidRDefault="00386343" w:rsidP="00386343">
            <w:pPr>
              <w:rPr>
                <w:sz w:val="18"/>
                <w:szCs w:val="18"/>
              </w:rPr>
            </w:pPr>
          </w:p>
        </w:tc>
      </w:tr>
      <w:tr w:rsidR="00386343" w:rsidRPr="007C0E94" w14:paraId="405A3C6A" w14:textId="77777777" w:rsidTr="00247B50">
        <w:trPr>
          <w:trHeight w:val="218"/>
        </w:trPr>
        <w:tc>
          <w:tcPr>
            <w:tcW w:w="959" w:type="dxa"/>
            <w:vMerge/>
            <w:tcBorders>
              <w:left w:val="single" w:sz="2" w:space="0" w:color="auto"/>
              <w:bottom w:val="dotted" w:sz="4" w:space="0" w:color="auto"/>
              <w:right w:val="nil"/>
            </w:tcBorders>
            <w:vAlign w:val="center"/>
          </w:tcPr>
          <w:p w14:paraId="2A53E91C" w14:textId="77777777" w:rsidR="00386343" w:rsidRPr="007C0E94" w:rsidRDefault="00386343" w:rsidP="00386343">
            <w:pPr>
              <w:rPr>
                <w:sz w:val="18"/>
                <w:szCs w:val="18"/>
              </w:rPr>
            </w:pPr>
          </w:p>
        </w:tc>
        <w:tc>
          <w:tcPr>
            <w:tcW w:w="992" w:type="dxa"/>
            <w:gridSpan w:val="2"/>
            <w:vMerge/>
            <w:tcBorders>
              <w:left w:val="nil"/>
              <w:bottom w:val="dotted" w:sz="4" w:space="0" w:color="auto"/>
              <w:right w:val="dotted" w:sz="2" w:space="0" w:color="auto"/>
            </w:tcBorders>
            <w:vAlign w:val="center"/>
          </w:tcPr>
          <w:p w14:paraId="7022912A" w14:textId="77777777" w:rsidR="00386343" w:rsidRPr="007C0E94" w:rsidRDefault="00386343" w:rsidP="00386343">
            <w:pPr>
              <w:rPr>
                <w:sz w:val="18"/>
                <w:szCs w:val="18"/>
              </w:rPr>
            </w:pPr>
          </w:p>
        </w:tc>
        <w:tc>
          <w:tcPr>
            <w:tcW w:w="1667" w:type="dxa"/>
            <w:gridSpan w:val="2"/>
            <w:tcBorders>
              <w:top w:val="dotted" w:sz="4" w:space="0" w:color="auto"/>
              <w:left w:val="dotted" w:sz="2" w:space="0" w:color="auto"/>
              <w:bottom w:val="dotted" w:sz="4" w:space="0" w:color="auto"/>
              <w:right w:val="nil"/>
            </w:tcBorders>
            <w:vAlign w:val="center"/>
          </w:tcPr>
          <w:p w14:paraId="7927E8B9" w14:textId="77777777" w:rsidR="00386343" w:rsidRPr="007C0E94" w:rsidRDefault="00386343" w:rsidP="0038634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0B17F3C7" w14:textId="77777777" w:rsidR="00386343" w:rsidRPr="007C0E94" w:rsidRDefault="00386343" w:rsidP="00386343">
            <w:pPr>
              <w:rPr>
                <w:sz w:val="18"/>
                <w:szCs w:val="18"/>
              </w:rPr>
            </w:pPr>
          </w:p>
        </w:tc>
        <w:tc>
          <w:tcPr>
            <w:tcW w:w="810" w:type="dxa"/>
            <w:vMerge/>
            <w:tcBorders>
              <w:left w:val="dotted" w:sz="4" w:space="0" w:color="auto"/>
              <w:bottom w:val="dotted" w:sz="4" w:space="0" w:color="auto"/>
              <w:right w:val="nil"/>
            </w:tcBorders>
            <w:vAlign w:val="center"/>
          </w:tcPr>
          <w:p w14:paraId="30EFC26E" w14:textId="77777777" w:rsidR="00386343" w:rsidRPr="007C0E94" w:rsidRDefault="00386343" w:rsidP="00386343">
            <w:pPr>
              <w:rPr>
                <w:sz w:val="18"/>
                <w:szCs w:val="18"/>
              </w:rPr>
            </w:pPr>
          </w:p>
        </w:tc>
        <w:tc>
          <w:tcPr>
            <w:tcW w:w="900" w:type="dxa"/>
            <w:vMerge/>
            <w:tcBorders>
              <w:left w:val="nil"/>
              <w:bottom w:val="dotted" w:sz="4" w:space="0" w:color="auto"/>
              <w:right w:val="nil"/>
            </w:tcBorders>
            <w:vAlign w:val="center"/>
          </w:tcPr>
          <w:p w14:paraId="7902C515" w14:textId="77777777" w:rsidR="00386343" w:rsidRPr="007C0E94" w:rsidRDefault="00386343" w:rsidP="00386343">
            <w:pPr>
              <w:rPr>
                <w:sz w:val="18"/>
                <w:szCs w:val="18"/>
              </w:rPr>
            </w:pPr>
          </w:p>
        </w:tc>
        <w:tc>
          <w:tcPr>
            <w:tcW w:w="1260" w:type="dxa"/>
            <w:vMerge/>
            <w:tcBorders>
              <w:left w:val="dotted" w:sz="4" w:space="0" w:color="auto"/>
              <w:bottom w:val="dotted" w:sz="4" w:space="0" w:color="auto"/>
              <w:right w:val="nil"/>
            </w:tcBorders>
            <w:vAlign w:val="center"/>
          </w:tcPr>
          <w:p w14:paraId="7A4FAFA3" w14:textId="77777777" w:rsidR="00386343" w:rsidRPr="007C0E94" w:rsidRDefault="00386343" w:rsidP="00386343">
            <w:pPr>
              <w:rPr>
                <w:sz w:val="18"/>
                <w:szCs w:val="18"/>
              </w:rPr>
            </w:pPr>
          </w:p>
        </w:tc>
        <w:tc>
          <w:tcPr>
            <w:tcW w:w="540" w:type="dxa"/>
            <w:vMerge/>
            <w:tcBorders>
              <w:left w:val="nil"/>
              <w:bottom w:val="dotted" w:sz="4" w:space="0" w:color="auto"/>
              <w:right w:val="dotted" w:sz="4" w:space="0" w:color="auto"/>
            </w:tcBorders>
            <w:vAlign w:val="center"/>
          </w:tcPr>
          <w:p w14:paraId="5E11E78A" w14:textId="77777777" w:rsidR="00386343" w:rsidRPr="007C0E94" w:rsidRDefault="00386343" w:rsidP="00386343">
            <w:pPr>
              <w:rPr>
                <w:sz w:val="18"/>
                <w:szCs w:val="18"/>
              </w:rPr>
            </w:pPr>
          </w:p>
        </w:tc>
        <w:tc>
          <w:tcPr>
            <w:tcW w:w="1800" w:type="dxa"/>
            <w:vMerge/>
            <w:tcBorders>
              <w:left w:val="dotted" w:sz="4" w:space="0" w:color="auto"/>
              <w:bottom w:val="dotted" w:sz="4" w:space="0" w:color="auto"/>
              <w:right w:val="nil"/>
            </w:tcBorders>
            <w:vAlign w:val="center"/>
          </w:tcPr>
          <w:p w14:paraId="6FEC858D" w14:textId="77777777" w:rsidR="00386343" w:rsidRPr="007C0E94" w:rsidRDefault="00386343" w:rsidP="00386343">
            <w:pPr>
              <w:rPr>
                <w:sz w:val="18"/>
                <w:szCs w:val="18"/>
              </w:rPr>
            </w:pPr>
          </w:p>
        </w:tc>
        <w:tc>
          <w:tcPr>
            <w:tcW w:w="990" w:type="dxa"/>
            <w:gridSpan w:val="2"/>
            <w:vMerge/>
            <w:tcBorders>
              <w:left w:val="nil"/>
              <w:bottom w:val="dotted" w:sz="2" w:space="0" w:color="auto"/>
              <w:right w:val="single" w:sz="2" w:space="0" w:color="auto"/>
            </w:tcBorders>
            <w:vAlign w:val="center"/>
          </w:tcPr>
          <w:p w14:paraId="5FCC6C0E" w14:textId="77777777" w:rsidR="00386343" w:rsidRPr="007C0E94" w:rsidRDefault="00386343" w:rsidP="00386343">
            <w:pPr>
              <w:rPr>
                <w:sz w:val="18"/>
                <w:szCs w:val="18"/>
              </w:rPr>
            </w:pPr>
          </w:p>
        </w:tc>
      </w:tr>
      <w:tr w:rsidR="00386343" w:rsidRPr="00FB6D69" w14:paraId="280D679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0CC747D" w14:textId="77777777" w:rsidR="00386343" w:rsidRPr="00FB6D69" w:rsidRDefault="00386343" w:rsidP="0038634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798B2BB" w14:textId="584743D9" w:rsidR="00386343" w:rsidRPr="00144E5D" w:rsidRDefault="00386343" w:rsidP="00386343">
            <w:pPr>
              <w:numPr>
                <w:ilvl w:val="0"/>
                <w:numId w:val="1"/>
              </w:numPr>
              <w:spacing w:before="40" w:after="40"/>
              <w:jc w:val="left"/>
              <w:rPr>
                <w:rFonts w:cs="Arial"/>
                <w:color w:val="000000" w:themeColor="text1"/>
                <w:szCs w:val="20"/>
              </w:rPr>
            </w:pPr>
            <w:r>
              <w:rPr>
                <w:rFonts w:cs="Arial"/>
                <w:color w:val="000000" w:themeColor="text1"/>
                <w:szCs w:val="20"/>
              </w:rPr>
              <w:t>UK prison contract portfolio</w:t>
            </w:r>
          </w:p>
        </w:tc>
      </w:tr>
    </w:tbl>
    <w:p w14:paraId="254C7D9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68AB653" wp14:editId="22817A6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675CDE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8AB65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675CDE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856C00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27A493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FF1240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310D317" w14:textId="77777777" w:rsidR="00366A73" w:rsidRPr="00315425" w:rsidRDefault="00366A73" w:rsidP="00366A73">
            <w:pPr>
              <w:jc w:val="center"/>
              <w:rPr>
                <w:rFonts w:cs="Arial"/>
                <w:b/>
                <w:sz w:val="4"/>
                <w:szCs w:val="20"/>
              </w:rPr>
            </w:pPr>
          </w:p>
          <w:p w14:paraId="577ED2F9" w14:textId="77777777" w:rsidR="00366A73" w:rsidRPr="00315425" w:rsidRDefault="00366A73" w:rsidP="00366A73">
            <w:pPr>
              <w:jc w:val="center"/>
              <w:rPr>
                <w:rFonts w:cs="Arial"/>
                <w:b/>
                <w:sz w:val="6"/>
                <w:szCs w:val="20"/>
              </w:rPr>
            </w:pPr>
          </w:p>
          <w:p w14:paraId="37708E72" w14:textId="77777777" w:rsidR="00366A73" w:rsidRDefault="00366A73" w:rsidP="00366A73">
            <w:pPr>
              <w:spacing w:after="40"/>
              <w:jc w:val="center"/>
              <w:rPr>
                <w:rFonts w:cs="Arial"/>
                <w:noProof/>
                <w:sz w:val="10"/>
                <w:szCs w:val="20"/>
                <w:lang w:eastAsia="en-US"/>
              </w:rPr>
            </w:pPr>
          </w:p>
          <w:p w14:paraId="74158C25" w14:textId="77777777" w:rsidR="00C206D3" w:rsidRPr="00D217D6" w:rsidRDefault="0003620F" w:rsidP="00C206D3">
            <w:pPr>
              <w:jc w:val="center"/>
              <w:rPr>
                <w:sz w:val="27"/>
              </w:rPr>
            </w:pPr>
            <w:r>
              <w:rPr>
                <w:b/>
                <w:noProof/>
                <w:color w:val="000000"/>
                <w:szCs w:val="20"/>
                <w:lang w:val="en-GB" w:eastAsia="en-GB"/>
              </w:rPr>
              <w:drawing>
                <wp:inline distT="0" distB="0" distL="0" distR="0" wp14:anchorId="5C426D21" wp14:editId="15143FC4">
                  <wp:extent cx="6286500" cy="1828800"/>
                  <wp:effectExtent l="0" t="0" r="0" b="571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9AE5462" w14:textId="77777777" w:rsidR="00366A73" w:rsidRDefault="00366A73" w:rsidP="00366A73">
            <w:pPr>
              <w:spacing w:after="40"/>
              <w:jc w:val="center"/>
              <w:rPr>
                <w:rFonts w:cs="Arial"/>
                <w:noProof/>
                <w:sz w:val="10"/>
                <w:szCs w:val="20"/>
                <w:lang w:eastAsia="en-US"/>
              </w:rPr>
            </w:pPr>
          </w:p>
          <w:p w14:paraId="2FE83800" w14:textId="77777777" w:rsidR="00366A73" w:rsidRPr="00745A24" w:rsidRDefault="00366A73" w:rsidP="00366A73">
            <w:pPr>
              <w:spacing w:after="40"/>
              <w:jc w:val="center"/>
              <w:rPr>
                <w:rFonts w:cs="Arial"/>
                <w:noProof/>
                <w:color w:val="FF0000"/>
                <w:sz w:val="10"/>
                <w:szCs w:val="20"/>
                <w:lang w:eastAsia="en-US"/>
              </w:rPr>
            </w:pPr>
          </w:p>
          <w:p w14:paraId="7AB93056" w14:textId="77777777" w:rsidR="000E3EF7" w:rsidRDefault="000E3EF7" w:rsidP="00366A73">
            <w:pPr>
              <w:spacing w:after="40"/>
              <w:jc w:val="center"/>
              <w:rPr>
                <w:rFonts w:cs="Arial"/>
                <w:noProof/>
                <w:sz w:val="10"/>
                <w:szCs w:val="20"/>
                <w:lang w:eastAsia="en-US"/>
              </w:rPr>
            </w:pPr>
          </w:p>
          <w:p w14:paraId="2D80595E" w14:textId="77777777" w:rsidR="00366A73" w:rsidRPr="00D376CF" w:rsidRDefault="00366A73" w:rsidP="00366A73">
            <w:pPr>
              <w:spacing w:after="40"/>
              <w:jc w:val="center"/>
              <w:rPr>
                <w:rFonts w:cs="Arial"/>
                <w:sz w:val="14"/>
                <w:szCs w:val="20"/>
              </w:rPr>
            </w:pPr>
          </w:p>
        </w:tc>
      </w:tr>
    </w:tbl>
    <w:p w14:paraId="50FFA87C" w14:textId="77777777" w:rsidR="00366A73" w:rsidRDefault="00366A73" w:rsidP="00366A73">
      <w:pPr>
        <w:jc w:val="left"/>
        <w:rPr>
          <w:rFonts w:cs="Arial"/>
        </w:rPr>
      </w:pPr>
    </w:p>
    <w:p w14:paraId="7AEF80A0" w14:textId="77777777" w:rsidR="00366A73" w:rsidRDefault="00366A73" w:rsidP="00366A73">
      <w:pPr>
        <w:jc w:val="left"/>
        <w:rPr>
          <w:rFonts w:cs="Arial"/>
        </w:rPr>
      </w:pPr>
      <w:r>
        <w:rPr>
          <w:rFonts w:cs="Arial"/>
        </w:rPr>
        <w:br w:type="page"/>
      </w:r>
    </w:p>
    <w:p w14:paraId="51266353" w14:textId="77777777" w:rsidR="00366A73" w:rsidRDefault="00366A73" w:rsidP="00366A73">
      <w:pPr>
        <w:jc w:val="left"/>
        <w:rPr>
          <w:rFonts w:cs="Arial"/>
          <w:vanish/>
        </w:rPr>
      </w:pPr>
    </w:p>
    <w:p w14:paraId="48BD41E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A3710F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F95A06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6D5766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D93B2FF" w14:textId="20FB3EFC" w:rsidR="00C65163" w:rsidRPr="00C65163" w:rsidRDefault="00C65163" w:rsidP="0096213F">
            <w:pPr>
              <w:numPr>
                <w:ilvl w:val="0"/>
                <w:numId w:val="3"/>
              </w:numPr>
              <w:spacing w:before="40" w:after="40"/>
              <w:jc w:val="left"/>
              <w:rPr>
                <w:rFonts w:cs="Arial"/>
                <w:color w:val="FF0000"/>
                <w:szCs w:val="20"/>
              </w:rPr>
            </w:pPr>
            <w:r>
              <w:rPr>
                <w:rFonts w:cs="Arial"/>
                <w:color w:val="000000" w:themeColor="text1"/>
                <w:szCs w:val="20"/>
              </w:rPr>
              <w:t xml:space="preserve">Managing </w:t>
            </w:r>
            <w:r w:rsidR="009A56C1">
              <w:rPr>
                <w:rFonts w:cs="Arial"/>
                <w:color w:val="000000" w:themeColor="text1"/>
                <w:szCs w:val="20"/>
              </w:rPr>
              <w:t>complex</w:t>
            </w:r>
            <w:r>
              <w:rPr>
                <w:rFonts w:cs="Arial"/>
                <w:color w:val="000000" w:themeColor="text1"/>
                <w:szCs w:val="20"/>
              </w:rPr>
              <w:t xml:space="preserve"> relationships</w:t>
            </w:r>
            <w:r w:rsidR="0031586C">
              <w:rPr>
                <w:rFonts w:cs="Arial"/>
                <w:color w:val="000000" w:themeColor="text1"/>
                <w:szCs w:val="20"/>
              </w:rPr>
              <w:t xml:space="preserve"> whilst maintaining personal integrity</w:t>
            </w:r>
            <w:r w:rsidR="00946631">
              <w:rPr>
                <w:rFonts w:cs="Arial"/>
                <w:color w:val="000000" w:themeColor="text1"/>
                <w:szCs w:val="20"/>
              </w:rPr>
              <w:t xml:space="preserve"> and </w:t>
            </w:r>
            <w:r w:rsidR="00514223">
              <w:rPr>
                <w:rFonts w:cs="Arial"/>
                <w:color w:val="000000" w:themeColor="text1"/>
                <w:szCs w:val="20"/>
              </w:rPr>
              <w:t>professionally managing both Sodexo and SPV contractual interests.</w:t>
            </w:r>
          </w:p>
          <w:p w14:paraId="6646A87E" w14:textId="77777777" w:rsidR="00366A73" w:rsidRPr="0096213F" w:rsidRDefault="00C6382C" w:rsidP="0096213F">
            <w:pPr>
              <w:numPr>
                <w:ilvl w:val="0"/>
                <w:numId w:val="3"/>
              </w:numPr>
              <w:spacing w:before="40" w:after="40"/>
              <w:jc w:val="left"/>
              <w:rPr>
                <w:rFonts w:cs="Arial"/>
                <w:color w:val="FF0000"/>
                <w:szCs w:val="20"/>
              </w:rPr>
            </w:pPr>
            <w:r>
              <w:rPr>
                <w:rFonts w:cs="Arial"/>
                <w:color w:val="000000" w:themeColor="text1"/>
                <w:szCs w:val="20"/>
              </w:rPr>
              <w:t xml:space="preserve">Represent SPV in </w:t>
            </w:r>
            <w:r w:rsidR="00C65163">
              <w:rPr>
                <w:rFonts w:cs="Arial"/>
                <w:color w:val="000000" w:themeColor="text1"/>
                <w:szCs w:val="20"/>
              </w:rPr>
              <w:t>Authority</w:t>
            </w:r>
            <w:r>
              <w:rPr>
                <w:rFonts w:cs="Arial"/>
                <w:color w:val="000000" w:themeColor="text1"/>
                <w:szCs w:val="20"/>
              </w:rPr>
              <w:t>/SPV</w:t>
            </w:r>
            <w:r w:rsidR="0096213F" w:rsidRPr="0096213F">
              <w:rPr>
                <w:rFonts w:cs="Arial"/>
                <w:color w:val="000000" w:themeColor="text1"/>
                <w:szCs w:val="20"/>
              </w:rPr>
              <w:t xml:space="preserve"> Contractual matters</w:t>
            </w:r>
            <w:r>
              <w:rPr>
                <w:rFonts w:cs="Arial"/>
                <w:color w:val="000000" w:themeColor="text1"/>
                <w:szCs w:val="20"/>
              </w:rPr>
              <w:t xml:space="preserve"> (PFI)</w:t>
            </w:r>
          </w:p>
          <w:p w14:paraId="3FBACB08" w14:textId="77777777" w:rsidR="0096213F" w:rsidRPr="00C65163" w:rsidRDefault="00C6382C" w:rsidP="0096213F">
            <w:pPr>
              <w:numPr>
                <w:ilvl w:val="0"/>
                <w:numId w:val="3"/>
              </w:numPr>
              <w:spacing w:before="40" w:after="40"/>
              <w:jc w:val="left"/>
              <w:rPr>
                <w:rFonts w:cs="Arial"/>
                <w:color w:val="FF0000"/>
                <w:szCs w:val="20"/>
              </w:rPr>
            </w:pPr>
            <w:r>
              <w:rPr>
                <w:rFonts w:cs="Arial"/>
                <w:color w:val="000000" w:themeColor="text1"/>
                <w:szCs w:val="20"/>
              </w:rPr>
              <w:t>Represent SPV in SPV/</w:t>
            </w:r>
            <w:r w:rsidR="0096213F">
              <w:rPr>
                <w:rFonts w:cs="Arial"/>
                <w:color w:val="000000" w:themeColor="text1"/>
                <w:szCs w:val="20"/>
              </w:rPr>
              <w:t>Subcontractor (Sodexo</w:t>
            </w:r>
            <w:r w:rsidR="00C65163">
              <w:rPr>
                <w:rFonts w:cs="Arial"/>
                <w:color w:val="000000" w:themeColor="text1"/>
                <w:szCs w:val="20"/>
              </w:rPr>
              <w:t xml:space="preserve"> and Interserve</w:t>
            </w:r>
            <w:r>
              <w:rPr>
                <w:rFonts w:cs="Arial"/>
                <w:color w:val="000000" w:themeColor="text1"/>
                <w:szCs w:val="20"/>
              </w:rPr>
              <w:t>)</w:t>
            </w:r>
            <w:r w:rsidR="0096213F" w:rsidRPr="0096213F">
              <w:rPr>
                <w:rFonts w:cs="Arial"/>
                <w:color w:val="000000" w:themeColor="text1"/>
                <w:szCs w:val="20"/>
              </w:rPr>
              <w:t xml:space="preserve"> Contractual matters</w:t>
            </w:r>
            <w:r>
              <w:rPr>
                <w:rFonts w:cs="Arial"/>
                <w:color w:val="000000" w:themeColor="text1"/>
                <w:szCs w:val="20"/>
              </w:rPr>
              <w:t xml:space="preserve"> (PFI)</w:t>
            </w:r>
          </w:p>
          <w:p w14:paraId="7C0BC2E7" w14:textId="77777777" w:rsidR="00C65163" w:rsidRPr="00C6382C" w:rsidRDefault="00C65163" w:rsidP="0096213F">
            <w:pPr>
              <w:numPr>
                <w:ilvl w:val="0"/>
                <w:numId w:val="3"/>
              </w:numPr>
              <w:spacing w:before="40" w:after="40"/>
              <w:jc w:val="left"/>
              <w:rPr>
                <w:rFonts w:cs="Arial"/>
                <w:color w:val="FF0000"/>
                <w:szCs w:val="20"/>
              </w:rPr>
            </w:pPr>
            <w:r>
              <w:rPr>
                <w:rFonts w:cs="Arial"/>
                <w:color w:val="000000" w:themeColor="text1"/>
                <w:szCs w:val="20"/>
              </w:rPr>
              <w:t>Liaison with Lenders,</w:t>
            </w:r>
            <w:r w:rsidR="0031586C">
              <w:rPr>
                <w:rFonts w:cs="Arial"/>
                <w:color w:val="000000" w:themeColor="text1"/>
                <w:szCs w:val="20"/>
              </w:rPr>
              <w:t xml:space="preserve"> </w:t>
            </w:r>
            <w:r>
              <w:rPr>
                <w:rFonts w:cs="Arial"/>
                <w:color w:val="000000" w:themeColor="text1"/>
                <w:szCs w:val="20"/>
              </w:rPr>
              <w:t xml:space="preserve">and Lenders Technical Advisers in relation to Credit Agreement obligations </w:t>
            </w:r>
          </w:p>
          <w:p w14:paraId="6A40FF51" w14:textId="77777777" w:rsidR="00C6382C" w:rsidRPr="00C6382C" w:rsidRDefault="0030606A" w:rsidP="0096213F">
            <w:pPr>
              <w:numPr>
                <w:ilvl w:val="0"/>
                <w:numId w:val="3"/>
              </w:numPr>
              <w:spacing w:before="40" w:after="40"/>
              <w:jc w:val="left"/>
              <w:rPr>
                <w:rFonts w:cs="Arial"/>
                <w:color w:val="FF0000"/>
                <w:szCs w:val="20"/>
              </w:rPr>
            </w:pPr>
            <w:r>
              <w:rPr>
                <w:rFonts w:cs="Arial"/>
                <w:color w:val="000000" w:themeColor="text1"/>
                <w:szCs w:val="20"/>
              </w:rPr>
              <w:t>Support</w:t>
            </w:r>
            <w:r w:rsidR="00C6382C">
              <w:rPr>
                <w:rFonts w:cs="Arial"/>
                <w:color w:val="000000" w:themeColor="text1"/>
                <w:szCs w:val="20"/>
              </w:rPr>
              <w:t xml:space="preserve"> Sodexo between MOJ and Sodexo in Contractual matters (Non PFI prisons)</w:t>
            </w:r>
          </w:p>
          <w:p w14:paraId="5A8FB9BD" w14:textId="77777777" w:rsidR="00745A24" w:rsidRPr="00C4695A" w:rsidRDefault="00745A24" w:rsidP="0030606A">
            <w:pPr>
              <w:spacing w:before="40" w:after="40"/>
              <w:ind w:left="360"/>
              <w:jc w:val="left"/>
              <w:rPr>
                <w:rFonts w:cs="Arial"/>
                <w:color w:val="FF0000"/>
                <w:szCs w:val="20"/>
              </w:rPr>
            </w:pPr>
          </w:p>
        </w:tc>
      </w:tr>
    </w:tbl>
    <w:p w14:paraId="562C391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12F8BAC" w14:textId="77777777" w:rsidTr="00161F93">
        <w:trPr>
          <w:trHeight w:val="565"/>
        </w:trPr>
        <w:tc>
          <w:tcPr>
            <w:tcW w:w="10458" w:type="dxa"/>
            <w:shd w:val="clear" w:color="auto" w:fill="F2F2F2"/>
            <w:vAlign w:val="center"/>
          </w:tcPr>
          <w:p w14:paraId="799701D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8A35E93" w14:textId="77777777" w:rsidTr="00161F93">
        <w:trPr>
          <w:trHeight w:val="620"/>
        </w:trPr>
        <w:tc>
          <w:tcPr>
            <w:tcW w:w="10458" w:type="dxa"/>
          </w:tcPr>
          <w:p w14:paraId="080E203A" w14:textId="77777777" w:rsidR="00366A73" w:rsidRPr="00C56FEC" w:rsidRDefault="00366A73" w:rsidP="00161F93">
            <w:pPr>
              <w:rPr>
                <w:rFonts w:cs="Arial"/>
                <w:b/>
                <w:sz w:val="6"/>
                <w:szCs w:val="20"/>
              </w:rPr>
            </w:pPr>
          </w:p>
          <w:p w14:paraId="20F70346" w14:textId="77777777" w:rsidR="00F479E6" w:rsidRDefault="009A56C1" w:rsidP="00656519">
            <w:pPr>
              <w:rPr>
                <w:rFonts w:cs="Arial"/>
                <w:b/>
                <w:color w:val="000000" w:themeColor="text1"/>
                <w:szCs w:val="20"/>
                <w:lang w:val="en-GB"/>
              </w:rPr>
            </w:pPr>
            <w:r>
              <w:rPr>
                <w:rFonts w:cs="Arial"/>
                <w:b/>
                <w:color w:val="000000" w:themeColor="text1"/>
                <w:szCs w:val="20"/>
                <w:lang w:val="en-GB"/>
              </w:rPr>
              <w:t>SPV</w:t>
            </w:r>
          </w:p>
          <w:p w14:paraId="3F4562BB" w14:textId="77777777" w:rsidR="00C65163" w:rsidRPr="00C65163" w:rsidRDefault="00A207BC" w:rsidP="00C65163">
            <w:pPr>
              <w:pStyle w:val="ListParagraph"/>
              <w:numPr>
                <w:ilvl w:val="0"/>
                <w:numId w:val="14"/>
              </w:numPr>
              <w:rPr>
                <w:rFonts w:cs="Arial"/>
                <w:color w:val="000000" w:themeColor="text1"/>
                <w:szCs w:val="20"/>
                <w:lang w:val="en-GB"/>
              </w:rPr>
            </w:pPr>
            <w:r w:rsidRPr="00A207BC">
              <w:rPr>
                <w:rFonts w:cs="Arial"/>
                <w:color w:val="000000" w:themeColor="text1"/>
                <w:szCs w:val="20"/>
                <w:lang w:val="en-GB"/>
              </w:rPr>
              <w:t>Responsible for the day to day management of the SPV Companies</w:t>
            </w:r>
            <w:r>
              <w:rPr>
                <w:rFonts w:cs="Arial"/>
                <w:color w:val="000000" w:themeColor="text1"/>
                <w:szCs w:val="20"/>
                <w:lang w:val="en-GB"/>
              </w:rPr>
              <w:t xml:space="preserve"> and </w:t>
            </w:r>
            <w:r w:rsidRPr="00A207BC">
              <w:rPr>
                <w:rFonts w:cs="Arial"/>
                <w:color w:val="000000" w:themeColor="text1"/>
                <w:szCs w:val="20"/>
                <w:lang w:val="en-GB"/>
              </w:rPr>
              <w:t>report directly to the Board</w:t>
            </w:r>
            <w:r>
              <w:rPr>
                <w:rFonts w:cs="Arial"/>
                <w:color w:val="000000" w:themeColor="text1"/>
                <w:szCs w:val="20"/>
                <w:lang w:val="en-GB"/>
              </w:rPr>
              <w:t xml:space="preserve"> of Directo</w:t>
            </w:r>
            <w:r w:rsidRPr="00A207BC">
              <w:rPr>
                <w:rFonts w:cs="Arial"/>
                <w:color w:val="000000" w:themeColor="text1"/>
                <w:szCs w:val="20"/>
                <w:lang w:val="en-GB"/>
              </w:rPr>
              <w:t>rs</w:t>
            </w:r>
            <w:r w:rsidR="005C4818">
              <w:rPr>
                <w:rFonts w:cs="Arial"/>
                <w:color w:val="000000" w:themeColor="text1"/>
                <w:szCs w:val="20"/>
                <w:lang w:val="en-GB"/>
              </w:rPr>
              <w:t>.</w:t>
            </w:r>
            <w:r w:rsidRPr="00A207BC">
              <w:rPr>
                <w:rFonts w:cs="Arial"/>
                <w:color w:val="000000" w:themeColor="text1"/>
                <w:szCs w:val="20"/>
                <w:lang w:val="en-GB"/>
              </w:rPr>
              <w:t xml:space="preserve"> </w:t>
            </w:r>
            <w:r w:rsidR="00C65163">
              <w:t xml:space="preserve"> </w:t>
            </w:r>
          </w:p>
          <w:p w14:paraId="63E972A7" w14:textId="77777777" w:rsidR="00A207BC" w:rsidRPr="00A207BC" w:rsidRDefault="00C65163" w:rsidP="00C65163">
            <w:pPr>
              <w:pStyle w:val="ListParagraph"/>
              <w:numPr>
                <w:ilvl w:val="0"/>
                <w:numId w:val="14"/>
              </w:numPr>
              <w:rPr>
                <w:rFonts w:cs="Arial"/>
                <w:color w:val="000000" w:themeColor="text1"/>
                <w:szCs w:val="20"/>
                <w:lang w:val="en-GB"/>
              </w:rPr>
            </w:pPr>
            <w:r>
              <w:t xml:space="preserve">Preparation and submission </w:t>
            </w:r>
            <w:r w:rsidR="009A56C1">
              <w:t>in a timely manner of</w:t>
            </w:r>
            <w:r w:rsidRPr="00C65163">
              <w:rPr>
                <w:rFonts w:cs="Arial"/>
                <w:color w:val="000000" w:themeColor="text1"/>
                <w:szCs w:val="20"/>
                <w:lang w:val="en-GB"/>
              </w:rPr>
              <w:t xml:space="preserve"> reports and information to the Shareholders and Directors of </w:t>
            </w:r>
            <w:r w:rsidR="009A56C1">
              <w:rPr>
                <w:rFonts w:cs="Arial"/>
                <w:color w:val="000000" w:themeColor="text1"/>
                <w:szCs w:val="20"/>
                <w:lang w:val="en-GB"/>
              </w:rPr>
              <w:t>SPV</w:t>
            </w:r>
            <w:r w:rsidRPr="00C65163">
              <w:rPr>
                <w:rFonts w:cs="Arial"/>
                <w:color w:val="000000" w:themeColor="text1"/>
                <w:szCs w:val="20"/>
                <w:lang w:val="en-GB"/>
              </w:rPr>
              <w:t xml:space="preserve"> relating to the </w:t>
            </w:r>
            <w:r w:rsidR="009A56C1">
              <w:rPr>
                <w:rFonts w:cs="Arial"/>
                <w:color w:val="000000" w:themeColor="text1"/>
                <w:szCs w:val="20"/>
                <w:lang w:val="en-GB"/>
              </w:rPr>
              <w:t>SPV b</w:t>
            </w:r>
            <w:r w:rsidRPr="00C65163">
              <w:rPr>
                <w:rFonts w:cs="Arial"/>
                <w:color w:val="000000" w:themeColor="text1"/>
                <w:szCs w:val="20"/>
                <w:lang w:val="en-GB"/>
              </w:rPr>
              <w:t>usiness on a regular basis</w:t>
            </w:r>
            <w:r w:rsidR="005C4818">
              <w:rPr>
                <w:rFonts w:cs="Arial"/>
                <w:color w:val="000000" w:themeColor="text1"/>
                <w:szCs w:val="20"/>
                <w:lang w:val="en-GB"/>
              </w:rPr>
              <w:t>.</w:t>
            </w:r>
          </w:p>
          <w:p w14:paraId="0DE05EE4" w14:textId="77777777" w:rsidR="0013032E" w:rsidRPr="0013032E" w:rsidRDefault="00DA6093" w:rsidP="0013032E">
            <w:pPr>
              <w:pStyle w:val="ListParagraph"/>
              <w:numPr>
                <w:ilvl w:val="0"/>
                <w:numId w:val="14"/>
              </w:numPr>
              <w:rPr>
                <w:rFonts w:cs="Arial"/>
                <w:color w:val="000000" w:themeColor="text1"/>
                <w:szCs w:val="20"/>
                <w:lang w:val="en-GB"/>
              </w:rPr>
            </w:pPr>
            <w:r w:rsidRPr="0013032E">
              <w:rPr>
                <w:rFonts w:cs="Arial"/>
                <w:color w:val="000000" w:themeColor="text1"/>
                <w:szCs w:val="20"/>
                <w:lang w:val="en-GB"/>
              </w:rPr>
              <w:t>Preparation and submission in a timely manner of notices, records, consents, reports and any other communications required to be given to the Authority under the</w:t>
            </w:r>
            <w:r w:rsidR="00C65163" w:rsidRPr="0013032E">
              <w:rPr>
                <w:rFonts w:cs="Arial"/>
                <w:color w:val="000000" w:themeColor="text1"/>
                <w:szCs w:val="20"/>
                <w:lang w:val="en-GB"/>
              </w:rPr>
              <w:t xml:space="preserve"> relevant project agreements.</w:t>
            </w:r>
            <w:r w:rsidRPr="0013032E">
              <w:rPr>
                <w:rFonts w:cs="Arial"/>
                <w:color w:val="000000" w:themeColor="text1"/>
                <w:szCs w:val="20"/>
                <w:lang w:val="en-GB"/>
              </w:rPr>
              <w:t xml:space="preserve"> </w:t>
            </w:r>
            <w:r w:rsidR="0013032E">
              <w:t xml:space="preserve"> </w:t>
            </w:r>
          </w:p>
          <w:p w14:paraId="73A50BB8" w14:textId="77777777" w:rsidR="0013032E" w:rsidRPr="0013032E" w:rsidRDefault="0013032E" w:rsidP="0013032E">
            <w:pPr>
              <w:pStyle w:val="ListParagraph"/>
              <w:numPr>
                <w:ilvl w:val="0"/>
                <w:numId w:val="14"/>
              </w:numPr>
              <w:rPr>
                <w:rFonts w:cs="Arial"/>
                <w:color w:val="000000" w:themeColor="text1"/>
                <w:szCs w:val="20"/>
                <w:lang w:val="en-GB"/>
              </w:rPr>
            </w:pPr>
            <w:r w:rsidRPr="0013032E">
              <w:rPr>
                <w:rFonts w:cs="Arial"/>
                <w:color w:val="000000" w:themeColor="text1"/>
                <w:szCs w:val="20"/>
                <w:lang w:val="en-GB"/>
              </w:rPr>
              <w:t xml:space="preserve">Management of the contractual variation process on behalf of </w:t>
            </w:r>
            <w:r>
              <w:rPr>
                <w:rFonts w:cs="Arial"/>
                <w:color w:val="000000" w:themeColor="text1"/>
                <w:szCs w:val="20"/>
                <w:lang w:val="en-GB"/>
              </w:rPr>
              <w:t>SPV</w:t>
            </w:r>
            <w:r w:rsidRPr="0013032E">
              <w:rPr>
                <w:rFonts w:cs="Arial"/>
                <w:color w:val="000000" w:themeColor="text1"/>
                <w:szCs w:val="20"/>
                <w:lang w:val="en-GB"/>
              </w:rPr>
              <w:t>.</w:t>
            </w:r>
            <w:r>
              <w:t xml:space="preserve"> </w:t>
            </w:r>
          </w:p>
          <w:p w14:paraId="1DBF8935" w14:textId="77777777" w:rsidR="00C65163" w:rsidRPr="0013032E" w:rsidRDefault="0013032E" w:rsidP="0013032E">
            <w:pPr>
              <w:pStyle w:val="ListParagraph"/>
              <w:numPr>
                <w:ilvl w:val="0"/>
                <w:numId w:val="14"/>
              </w:numPr>
              <w:rPr>
                <w:rFonts w:cs="Arial"/>
                <w:color w:val="000000" w:themeColor="text1"/>
                <w:szCs w:val="20"/>
                <w:lang w:val="en-GB"/>
              </w:rPr>
            </w:pPr>
            <w:r w:rsidRPr="0013032E">
              <w:rPr>
                <w:rFonts w:cs="Arial"/>
                <w:color w:val="000000" w:themeColor="text1"/>
                <w:szCs w:val="20"/>
                <w:lang w:val="en-GB"/>
              </w:rPr>
              <w:t>Acting as interface between Sub-Contractors and Authority on all relevant matters including in respect of changes to the Works or Services, and variations of price</w:t>
            </w:r>
          </w:p>
          <w:p w14:paraId="57FF775E" w14:textId="77777777" w:rsidR="00DA6093" w:rsidRPr="00C65163" w:rsidRDefault="00C65163" w:rsidP="00DA6093">
            <w:pPr>
              <w:pStyle w:val="ListParagraph"/>
              <w:numPr>
                <w:ilvl w:val="0"/>
                <w:numId w:val="14"/>
              </w:numPr>
              <w:rPr>
                <w:rFonts w:cs="Arial"/>
                <w:color w:val="000000" w:themeColor="text1"/>
                <w:szCs w:val="20"/>
                <w:lang w:val="en-GB"/>
              </w:rPr>
            </w:pPr>
            <w:r>
              <w:rPr>
                <w:rFonts w:cs="Arial"/>
                <w:color w:val="000000" w:themeColor="text1"/>
                <w:szCs w:val="20"/>
                <w:lang w:val="en-GB"/>
              </w:rPr>
              <w:t>L</w:t>
            </w:r>
            <w:r w:rsidR="00DA6093" w:rsidRPr="00C65163">
              <w:rPr>
                <w:rFonts w:cs="Arial"/>
                <w:color w:val="000000" w:themeColor="text1"/>
                <w:szCs w:val="20"/>
                <w:lang w:val="en-GB"/>
              </w:rPr>
              <w:t>iaising with Sub-Contractors to ensure any communications required under sub-contracts are supplied in a timely manner</w:t>
            </w:r>
            <w:r>
              <w:rPr>
                <w:rFonts w:cs="Arial"/>
                <w:color w:val="000000" w:themeColor="text1"/>
                <w:szCs w:val="20"/>
                <w:lang w:val="en-GB"/>
              </w:rPr>
              <w:t>.</w:t>
            </w:r>
          </w:p>
          <w:p w14:paraId="7E932511" w14:textId="77777777" w:rsidR="00DA6093" w:rsidRPr="0013032E" w:rsidRDefault="00C65163" w:rsidP="0013032E">
            <w:pPr>
              <w:pStyle w:val="ListParagraph"/>
              <w:numPr>
                <w:ilvl w:val="0"/>
                <w:numId w:val="14"/>
              </w:numPr>
              <w:rPr>
                <w:rFonts w:cs="Arial"/>
                <w:color w:val="000000" w:themeColor="text1"/>
                <w:szCs w:val="20"/>
                <w:lang w:val="en-GB"/>
              </w:rPr>
            </w:pPr>
            <w:r>
              <w:rPr>
                <w:rFonts w:cs="Arial"/>
                <w:color w:val="000000" w:themeColor="text1"/>
                <w:szCs w:val="20"/>
                <w:lang w:val="en-GB"/>
              </w:rPr>
              <w:t>L</w:t>
            </w:r>
            <w:r w:rsidR="00DA6093" w:rsidRPr="00DA6093">
              <w:rPr>
                <w:rFonts w:cs="Arial"/>
                <w:color w:val="000000" w:themeColor="text1"/>
                <w:szCs w:val="20"/>
                <w:lang w:val="en-GB"/>
              </w:rPr>
              <w:t>iaising with professional advisers</w:t>
            </w:r>
            <w:r>
              <w:rPr>
                <w:rFonts w:cs="Arial"/>
                <w:color w:val="000000" w:themeColor="text1"/>
                <w:szCs w:val="20"/>
                <w:lang w:val="en-GB"/>
              </w:rPr>
              <w:t xml:space="preserve"> of the SPV Companies</w:t>
            </w:r>
            <w:r w:rsidR="005E2A3C">
              <w:rPr>
                <w:rFonts w:cs="Arial"/>
                <w:color w:val="000000" w:themeColor="text1"/>
                <w:szCs w:val="20"/>
                <w:lang w:val="en-GB"/>
              </w:rPr>
              <w:t xml:space="preserve"> and Lenders</w:t>
            </w:r>
            <w:r>
              <w:rPr>
                <w:rFonts w:cs="Arial"/>
                <w:color w:val="000000" w:themeColor="text1"/>
                <w:szCs w:val="20"/>
                <w:lang w:val="en-GB"/>
              </w:rPr>
              <w:t xml:space="preserve">, </w:t>
            </w:r>
            <w:r w:rsidR="00DA6093" w:rsidRPr="00DA6093">
              <w:rPr>
                <w:rFonts w:cs="Arial"/>
                <w:color w:val="000000" w:themeColor="text1"/>
                <w:szCs w:val="20"/>
                <w:lang w:val="en-GB"/>
              </w:rPr>
              <w:t>as appropriate</w:t>
            </w:r>
            <w:r w:rsidR="005C4818">
              <w:rPr>
                <w:rFonts w:cs="Arial"/>
                <w:color w:val="000000" w:themeColor="text1"/>
                <w:szCs w:val="20"/>
                <w:lang w:val="en-GB"/>
              </w:rPr>
              <w:t>.</w:t>
            </w:r>
          </w:p>
          <w:p w14:paraId="6E01E7CC" w14:textId="77777777" w:rsidR="003F0321" w:rsidRPr="00DA6093" w:rsidRDefault="003F0321" w:rsidP="00DA6093">
            <w:pPr>
              <w:pStyle w:val="ListParagraph"/>
              <w:numPr>
                <w:ilvl w:val="0"/>
                <w:numId w:val="14"/>
              </w:numPr>
              <w:rPr>
                <w:rFonts w:cs="Arial"/>
                <w:color w:val="000000" w:themeColor="text1"/>
                <w:szCs w:val="20"/>
                <w:lang w:val="en-GB"/>
              </w:rPr>
            </w:pPr>
            <w:r>
              <w:rPr>
                <w:rFonts w:cs="Arial"/>
                <w:color w:val="000000" w:themeColor="text1"/>
                <w:szCs w:val="20"/>
                <w:lang w:val="en-GB"/>
              </w:rPr>
              <w:t>Monitor and review Subcontractor Health and Safety Performance,</w:t>
            </w:r>
            <w:r w:rsidR="005C4818">
              <w:rPr>
                <w:rFonts w:cs="Arial"/>
                <w:color w:val="000000" w:themeColor="text1"/>
                <w:szCs w:val="20"/>
                <w:lang w:val="en-GB"/>
              </w:rPr>
              <w:t xml:space="preserve"> </w:t>
            </w:r>
            <w:r>
              <w:rPr>
                <w:rFonts w:cs="Arial"/>
                <w:color w:val="000000" w:themeColor="text1"/>
                <w:szCs w:val="20"/>
                <w:lang w:val="en-GB"/>
              </w:rPr>
              <w:t>audit compliance of Subcontractors.</w:t>
            </w:r>
          </w:p>
          <w:p w14:paraId="5A26693B" w14:textId="77777777" w:rsidR="00A207BC" w:rsidRDefault="009A56C1" w:rsidP="009A56C1">
            <w:pPr>
              <w:rPr>
                <w:rFonts w:cs="Arial"/>
                <w:b/>
                <w:color w:val="000000" w:themeColor="text1"/>
                <w:szCs w:val="20"/>
                <w:lang w:val="en-GB"/>
              </w:rPr>
            </w:pPr>
            <w:r w:rsidRPr="009A56C1">
              <w:rPr>
                <w:rFonts w:cs="Arial"/>
                <w:b/>
                <w:color w:val="000000" w:themeColor="text1"/>
                <w:szCs w:val="20"/>
                <w:lang w:val="en-GB"/>
              </w:rPr>
              <w:t>Sodexo</w:t>
            </w:r>
          </w:p>
          <w:p w14:paraId="0E9FDA79" w14:textId="77777777" w:rsidR="009A56C1" w:rsidRDefault="009A56C1" w:rsidP="009A56C1">
            <w:pPr>
              <w:pStyle w:val="ListParagraph"/>
              <w:numPr>
                <w:ilvl w:val="0"/>
                <w:numId w:val="16"/>
              </w:numPr>
              <w:rPr>
                <w:rFonts w:cs="Arial"/>
                <w:color w:val="000000" w:themeColor="text1"/>
                <w:szCs w:val="20"/>
                <w:lang w:val="en-GB"/>
              </w:rPr>
            </w:pPr>
            <w:r>
              <w:rPr>
                <w:rFonts w:cs="Arial"/>
                <w:color w:val="000000" w:themeColor="text1"/>
                <w:szCs w:val="20"/>
                <w:lang w:val="en-GB"/>
              </w:rPr>
              <w:t>M</w:t>
            </w:r>
            <w:r w:rsidRPr="009A56C1">
              <w:rPr>
                <w:rFonts w:cs="Arial"/>
                <w:color w:val="000000" w:themeColor="text1"/>
                <w:szCs w:val="20"/>
                <w:lang w:val="en-GB"/>
              </w:rPr>
              <w:t xml:space="preserve">anagement of the contractual variation process </w:t>
            </w:r>
            <w:r>
              <w:rPr>
                <w:rFonts w:cs="Arial"/>
                <w:color w:val="000000" w:themeColor="text1"/>
                <w:szCs w:val="20"/>
                <w:lang w:val="en-GB"/>
              </w:rPr>
              <w:t>on behalf of Sodexo</w:t>
            </w:r>
            <w:r w:rsidR="005C4818">
              <w:rPr>
                <w:rFonts w:cs="Arial"/>
                <w:color w:val="000000" w:themeColor="text1"/>
                <w:szCs w:val="20"/>
                <w:lang w:val="en-GB"/>
              </w:rPr>
              <w:t>.</w:t>
            </w:r>
          </w:p>
          <w:p w14:paraId="258D05DC" w14:textId="77777777" w:rsidR="009A56C1" w:rsidRDefault="009A56C1" w:rsidP="009A56C1">
            <w:pPr>
              <w:pStyle w:val="ListParagraph"/>
              <w:numPr>
                <w:ilvl w:val="0"/>
                <w:numId w:val="16"/>
              </w:numPr>
              <w:rPr>
                <w:rFonts w:cs="Arial"/>
                <w:color w:val="000000" w:themeColor="text1"/>
                <w:szCs w:val="20"/>
                <w:lang w:val="en-GB"/>
              </w:rPr>
            </w:pPr>
            <w:r w:rsidRPr="009A56C1">
              <w:rPr>
                <w:rFonts w:cs="Arial"/>
                <w:color w:val="000000" w:themeColor="text1"/>
                <w:szCs w:val="20"/>
                <w:lang w:val="en-GB"/>
              </w:rPr>
              <w:t xml:space="preserve">Maintenance of a library </w:t>
            </w:r>
            <w:r>
              <w:rPr>
                <w:rFonts w:cs="Arial"/>
                <w:color w:val="000000" w:themeColor="text1"/>
                <w:szCs w:val="20"/>
                <w:lang w:val="en-GB"/>
              </w:rPr>
              <w:t>of contracts and contractual variations.</w:t>
            </w:r>
          </w:p>
          <w:p w14:paraId="2E26A1B7" w14:textId="7EEC858F" w:rsidR="003F0321" w:rsidRDefault="003F0321" w:rsidP="003F0321">
            <w:pPr>
              <w:pStyle w:val="ListParagraph"/>
              <w:numPr>
                <w:ilvl w:val="0"/>
                <w:numId w:val="16"/>
              </w:numPr>
              <w:rPr>
                <w:rFonts w:cs="Arial"/>
                <w:color w:val="000000" w:themeColor="text1"/>
                <w:szCs w:val="20"/>
                <w:lang w:val="en-GB"/>
              </w:rPr>
            </w:pPr>
            <w:r w:rsidRPr="003F0321">
              <w:rPr>
                <w:rFonts w:cs="Arial"/>
                <w:color w:val="000000" w:themeColor="text1"/>
                <w:szCs w:val="20"/>
                <w:lang w:val="en-GB"/>
              </w:rPr>
              <w:t>Advise on performance and contractual matters to seek resolution</w:t>
            </w:r>
            <w:r w:rsidR="00E75731">
              <w:rPr>
                <w:rFonts w:cs="Arial"/>
                <w:color w:val="000000" w:themeColor="text1"/>
                <w:szCs w:val="20"/>
                <w:lang w:val="en-GB"/>
              </w:rPr>
              <w:t>, working collaboratively with Sodexo commercial, finance and operational teams.</w:t>
            </w:r>
          </w:p>
          <w:p w14:paraId="4EF78482" w14:textId="77777777" w:rsidR="005C4818" w:rsidRPr="005C4818" w:rsidRDefault="005C4818" w:rsidP="005C4818">
            <w:pPr>
              <w:ind w:left="360"/>
              <w:rPr>
                <w:rFonts w:cs="Arial"/>
                <w:color w:val="000000" w:themeColor="text1"/>
                <w:szCs w:val="20"/>
                <w:lang w:val="en-GB"/>
              </w:rPr>
            </w:pPr>
            <w:r w:rsidRPr="005C4818">
              <w:rPr>
                <w:rFonts w:cs="Arial"/>
                <w:color w:val="000000" w:themeColor="text1"/>
                <w:szCs w:val="20"/>
                <w:lang w:val="en-GB"/>
              </w:rPr>
              <w:t xml:space="preserve"> </w:t>
            </w:r>
          </w:p>
        </w:tc>
      </w:tr>
    </w:tbl>
    <w:p w14:paraId="7E6FDDB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A03DB2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9A2ED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620566B" w14:textId="77777777" w:rsidTr="00161F93">
        <w:trPr>
          <w:trHeight w:val="620"/>
        </w:trPr>
        <w:tc>
          <w:tcPr>
            <w:tcW w:w="10456" w:type="dxa"/>
            <w:tcBorders>
              <w:top w:val="nil"/>
              <w:left w:val="single" w:sz="2" w:space="0" w:color="auto"/>
              <w:bottom w:val="single" w:sz="4" w:space="0" w:color="auto"/>
              <w:right w:val="single" w:sz="4" w:space="0" w:color="auto"/>
            </w:tcBorders>
          </w:tcPr>
          <w:p w14:paraId="10FA3F7B" w14:textId="77777777" w:rsidR="00745A24" w:rsidRDefault="005E2A3C" w:rsidP="005E2A3C">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All stakeholders are appropriately </w:t>
            </w:r>
            <w:r w:rsidRPr="005E2A3C">
              <w:rPr>
                <w:rFonts w:cs="Arial"/>
                <w:color w:val="000000" w:themeColor="text1"/>
                <w:szCs w:val="20"/>
                <w:lang w:val="en-GB"/>
              </w:rPr>
              <w:t>informed of developments and progress to ensure their ongoing engagement and support for decision making</w:t>
            </w:r>
            <w:r>
              <w:rPr>
                <w:rFonts w:cs="Arial"/>
                <w:color w:val="000000" w:themeColor="text1"/>
                <w:szCs w:val="20"/>
                <w:lang w:val="en-GB"/>
              </w:rPr>
              <w:t>.</w:t>
            </w:r>
          </w:p>
          <w:p w14:paraId="6B6217E4" w14:textId="77777777" w:rsidR="00CC7D73" w:rsidRDefault="00CC7D73" w:rsidP="00CC7D73">
            <w:pPr>
              <w:numPr>
                <w:ilvl w:val="0"/>
                <w:numId w:val="3"/>
              </w:numPr>
              <w:spacing w:before="40"/>
              <w:jc w:val="left"/>
              <w:rPr>
                <w:rFonts w:cs="Arial"/>
                <w:color w:val="000000" w:themeColor="text1"/>
                <w:szCs w:val="20"/>
                <w:lang w:val="en-GB"/>
              </w:rPr>
            </w:pPr>
            <w:r>
              <w:rPr>
                <w:rFonts w:cs="Arial"/>
                <w:color w:val="000000" w:themeColor="text1"/>
                <w:szCs w:val="20"/>
                <w:lang w:val="en-GB"/>
              </w:rPr>
              <w:t>D</w:t>
            </w:r>
            <w:r w:rsidRPr="00CC7D73">
              <w:rPr>
                <w:rFonts w:cs="Arial"/>
                <w:color w:val="000000" w:themeColor="text1"/>
                <w:szCs w:val="20"/>
                <w:lang w:val="en-GB"/>
              </w:rPr>
              <w:t xml:space="preserve">evelopment of strong, sustainable relationships both internally and externally </w:t>
            </w:r>
            <w:r w:rsidRPr="00CC7D73">
              <w:rPr>
                <w:rFonts w:cs="Arial"/>
                <w:color w:val="000000" w:themeColor="text1"/>
                <w:szCs w:val="20"/>
                <w:lang w:val="en-GB"/>
              </w:rPr>
              <w:tab/>
            </w:r>
          </w:p>
          <w:p w14:paraId="2D3B673D" w14:textId="77777777" w:rsidR="005E2A3C" w:rsidRDefault="00CC7D73" w:rsidP="00CC7D73">
            <w:pPr>
              <w:numPr>
                <w:ilvl w:val="0"/>
                <w:numId w:val="3"/>
              </w:numPr>
              <w:spacing w:before="40"/>
              <w:jc w:val="left"/>
              <w:rPr>
                <w:rFonts w:cs="Arial"/>
                <w:color w:val="000000" w:themeColor="text1"/>
                <w:szCs w:val="20"/>
                <w:lang w:val="en-GB"/>
              </w:rPr>
            </w:pPr>
            <w:r>
              <w:rPr>
                <w:rFonts w:cs="Arial"/>
                <w:color w:val="000000" w:themeColor="text1"/>
                <w:szCs w:val="20"/>
                <w:lang w:val="en-GB"/>
              </w:rPr>
              <w:t>L</w:t>
            </w:r>
            <w:r w:rsidRPr="00CC7D73">
              <w:rPr>
                <w:rFonts w:cs="Arial"/>
                <w:color w:val="000000" w:themeColor="text1"/>
                <w:szCs w:val="20"/>
                <w:lang w:val="en-GB"/>
              </w:rPr>
              <w:t xml:space="preserve">earning </w:t>
            </w:r>
            <w:r>
              <w:rPr>
                <w:rFonts w:cs="Arial"/>
                <w:color w:val="000000" w:themeColor="text1"/>
                <w:szCs w:val="20"/>
                <w:lang w:val="en-GB"/>
              </w:rPr>
              <w:t xml:space="preserve">is shared </w:t>
            </w:r>
            <w:r w:rsidRPr="00CC7D73">
              <w:rPr>
                <w:rFonts w:cs="Arial"/>
                <w:color w:val="000000" w:themeColor="text1"/>
                <w:szCs w:val="20"/>
                <w:lang w:val="en-GB"/>
              </w:rPr>
              <w:t>across the business to determine “best practice”</w:t>
            </w:r>
          </w:p>
          <w:p w14:paraId="5AF447BB" w14:textId="77777777" w:rsidR="0030606A" w:rsidRDefault="0030606A" w:rsidP="00CC7D73">
            <w:pPr>
              <w:numPr>
                <w:ilvl w:val="0"/>
                <w:numId w:val="3"/>
              </w:numPr>
              <w:spacing w:before="40"/>
              <w:jc w:val="left"/>
              <w:rPr>
                <w:rFonts w:cs="Arial"/>
                <w:color w:val="000000" w:themeColor="text1"/>
                <w:szCs w:val="20"/>
                <w:lang w:val="en-GB"/>
              </w:rPr>
            </w:pPr>
            <w:r>
              <w:rPr>
                <w:rFonts w:cs="Arial"/>
                <w:color w:val="000000" w:themeColor="text1"/>
                <w:szCs w:val="20"/>
                <w:lang w:val="en-GB"/>
              </w:rPr>
              <w:t>Subject matter expert for contractual variations process</w:t>
            </w:r>
          </w:p>
          <w:p w14:paraId="1CBD30F5" w14:textId="20D4E0DB" w:rsidR="00481B85" w:rsidRDefault="00481B85" w:rsidP="00CC7D73">
            <w:pPr>
              <w:numPr>
                <w:ilvl w:val="0"/>
                <w:numId w:val="3"/>
              </w:numPr>
              <w:spacing w:before="40"/>
              <w:jc w:val="left"/>
              <w:rPr>
                <w:rFonts w:cs="Arial"/>
                <w:color w:val="000000" w:themeColor="text1"/>
                <w:szCs w:val="20"/>
                <w:lang w:val="en-GB"/>
              </w:rPr>
            </w:pPr>
            <w:r>
              <w:rPr>
                <w:rFonts w:cs="Arial"/>
                <w:color w:val="000000" w:themeColor="text1"/>
                <w:szCs w:val="20"/>
                <w:lang w:val="en-GB"/>
              </w:rPr>
              <w:t>Attendance at all relevant Board meetings</w:t>
            </w:r>
          </w:p>
          <w:p w14:paraId="6870B017" w14:textId="77777777" w:rsidR="0013032E" w:rsidRPr="00424476" w:rsidRDefault="0013032E" w:rsidP="0030606A">
            <w:pPr>
              <w:spacing w:before="40"/>
              <w:ind w:left="360"/>
              <w:jc w:val="left"/>
              <w:rPr>
                <w:rFonts w:cs="Arial"/>
                <w:color w:val="000000" w:themeColor="text1"/>
                <w:szCs w:val="20"/>
                <w:lang w:val="en-GB"/>
              </w:rPr>
            </w:pPr>
          </w:p>
        </w:tc>
      </w:tr>
    </w:tbl>
    <w:p w14:paraId="61A02E92" w14:textId="77777777" w:rsidR="0013032E" w:rsidRDefault="0013032E" w:rsidP="00366A73"/>
    <w:p w14:paraId="59277FDD" w14:textId="77777777" w:rsidR="0013032E" w:rsidRDefault="0013032E">
      <w:pPr>
        <w:spacing w:after="200" w:line="276" w:lineRule="auto"/>
        <w:jc w:val="left"/>
      </w:pPr>
      <w:r>
        <w:br w:type="page"/>
      </w:r>
    </w:p>
    <w:p w14:paraId="5B611F8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D33E08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0404AB"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E71ECE5" w14:textId="77777777" w:rsidTr="004238D8">
        <w:trPr>
          <w:trHeight w:val="620"/>
        </w:trPr>
        <w:tc>
          <w:tcPr>
            <w:tcW w:w="10458" w:type="dxa"/>
            <w:tcBorders>
              <w:top w:val="nil"/>
              <w:left w:val="single" w:sz="2" w:space="0" w:color="auto"/>
              <w:bottom w:val="single" w:sz="4" w:space="0" w:color="auto"/>
              <w:right w:val="single" w:sz="4" w:space="0" w:color="auto"/>
            </w:tcBorders>
          </w:tcPr>
          <w:tbl>
            <w:tblPr>
              <w:tblStyle w:val="TableGrid"/>
              <w:tblW w:w="10227" w:type="dxa"/>
              <w:tblInd w:w="360" w:type="dxa"/>
              <w:tblLayout w:type="fixed"/>
              <w:tblLook w:val="04A0" w:firstRow="1" w:lastRow="0" w:firstColumn="1" w:lastColumn="0" w:noHBand="0" w:noVBand="1"/>
            </w:tblPr>
            <w:tblGrid>
              <w:gridCol w:w="9982"/>
              <w:gridCol w:w="245"/>
            </w:tblGrid>
            <w:tr w:rsidR="00CF3F65" w14:paraId="5AAE9338" w14:textId="77777777" w:rsidTr="007770CB">
              <w:tc>
                <w:tcPr>
                  <w:tcW w:w="9982" w:type="dxa"/>
                </w:tcPr>
                <w:p w14:paraId="1A3A3F31" w14:textId="64BE8C50" w:rsidR="00CF3F65" w:rsidRDefault="00CF3F65" w:rsidP="00CF3F65">
                  <w:pPr>
                    <w:pStyle w:val="Puces4"/>
                    <w:framePr w:hSpace="180" w:wrap="around" w:vAnchor="text" w:hAnchor="margin" w:xAlign="center" w:y="192"/>
                    <w:numPr>
                      <w:ilvl w:val="0"/>
                      <w:numId w:val="3"/>
                    </w:numPr>
                  </w:pPr>
                  <w:r>
                    <w:t>Contract Management experience</w:t>
                  </w:r>
                  <w:r w:rsidR="002F4741">
                    <w:t xml:space="preserve"> with </w:t>
                  </w:r>
                  <w:r w:rsidR="003A26C4">
                    <w:t>strong commercial acumen and ability</w:t>
                  </w:r>
                  <w:r w:rsidR="002F4741">
                    <w:t xml:space="preserve"> to </w:t>
                  </w:r>
                  <w:r w:rsidR="004432F1">
                    <w:t>adeptly</w:t>
                  </w:r>
                  <w:r w:rsidR="007770CB">
                    <w:t xml:space="preserve"> apply contractual mechanisms to commercial discussions</w:t>
                  </w:r>
                </w:p>
                <w:p w14:paraId="0EF42E8F" w14:textId="2764BF3D" w:rsidR="00CB2938" w:rsidRDefault="00CB2938" w:rsidP="00CF3F65">
                  <w:pPr>
                    <w:pStyle w:val="Puces4"/>
                    <w:framePr w:hSpace="180" w:wrap="around" w:vAnchor="text" w:hAnchor="margin" w:xAlign="center" w:y="192"/>
                    <w:numPr>
                      <w:ilvl w:val="0"/>
                      <w:numId w:val="3"/>
                    </w:numPr>
                  </w:pPr>
                  <w:r>
                    <w:t>Experience of PFI or large complex contracts ideally in the prison and/or wider government sector</w:t>
                  </w:r>
                </w:p>
                <w:p w14:paraId="4796F698" w14:textId="09678DBC" w:rsidR="00CF3F65" w:rsidRDefault="00756AF5" w:rsidP="00CF3F65">
                  <w:pPr>
                    <w:pStyle w:val="Puces4"/>
                    <w:framePr w:hSpace="180" w:wrap="around" w:vAnchor="text" w:hAnchor="margin" w:xAlign="center" w:y="192"/>
                    <w:numPr>
                      <w:ilvl w:val="0"/>
                      <w:numId w:val="3"/>
                    </w:numPr>
                  </w:pPr>
                  <w:r>
                    <w:t>Strong interpersonal and influencing skills for managing senior stakeholders across both organisations</w:t>
                  </w:r>
                </w:p>
                <w:p w14:paraId="691B289C" w14:textId="1ADF7183" w:rsidR="00C5433E" w:rsidRDefault="00B32609" w:rsidP="00CF3F65">
                  <w:pPr>
                    <w:pStyle w:val="Puces4"/>
                    <w:framePr w:hSpace="180" w:wrap="around" w:vAnchor="text" w:hAnchor="margin" w:xAlign="center" w:y="192"/>
                    <w:numPr>
                      <w:ilvl w:val="0"/>
                      <w:numId w:val="3"/>
                    </w:numPr>
                  </w:pPr>
                  <w:r>
                    <w:t xml:space="preserve">Ability to understand complex issues and </w:t>
                  </w:r>
                  <w:r w:rsidR="00154554">
                    <w:t>prioritise actions through to successful resolution.</w:t>
                  </w:r>
                </w:p>
                <w:p w14:paraId="68E0C9CD" w14:textId="22C1A86C" w:rsidR="00223EE6" w:rsidRDefault="00223EE6" w:rsidP="00CF3F65">
                  <w:pPr>
                    <w:pStyle w:val="Puces4"/>
                    <w:framePr w:hSpace="180" w:wrap="around" w:vAnchor="text" w:hAnchor="margin" w:xAlign="center" w:y="192"/>
                    <w:numPr>
                      <w:ilvl w:val="0"/>
                      <w:numId w:val="3"/>
                    </w:numPr>
                  </w:pPr>
                  <w:r>
                    <w:t xml:space="preserve">Ideally an understanding of </w:t>
                  </w:r>
                  <w:r w:rsidR="000C4A9F">
                    <w:t>operational prison environments</w:t>
                  </w:r>
                  <w:r w:rsidR="00E54304">
                    <w:t xml:space="preserve"> and health and safety </w:t>
                  </w:r>
                  <w:r w:rsidR="005427E0">
                    <w:t>management</w:t>
                  </w:r>
                </w:p>
                <w:p w14:paraId="6D913F59" w14:textId="6EBCCC86" w:rsidR="000C4A9F" w:rsidRDefault="00012299" w:rsidP="00CF3F65">
                  <w:pPr>
                    <w:pStyle w:val="Puces4"/>
                    <w:framePr w:hSpace="180" w:wrap="around" w:vAnchor="text" w:hAnchor="margin" w:xAlign="center" w:y="192"/>
                    <w:numPr>
                      <w:ilvl w:val="0"/>
                      <w:numId w:val="3"/>
                    </w:numPr>
                  </w:pPr>
                  <w:r>
                    <w:t>Excellent communication skills</w:t>
                  </w:r>
                  <w:r w:rsidR="00C802F2">
                    <w:t xml:space="preserve"> including a high standard of written reports.</w:t>
                  </w:r>
                </w:p>
                <w:p w14:paraId="057EFD1D" w14:textId="77777777" w:rsidR="00CF3F65" w:rsidRDefault="00CF3F65" w:rsidP="0030606A">
                  <w:pPr>
                    <w:pStyle w:val="Puces4"/>
                    <w:framePr w:hSpace="180" w:wrap="around" w:vAnchor="text" w:hAnchor="margin" w:xAlign="center" w:y="192"/>
                    <w:numPr>
                      <w:ilvl w:val="0"/>
                      <w:numId w:val="0"/>
                    </w:numPr>
                    <w:ind w:left="360"/>
                  </w:pPr>
                </w:p>
              </w:tc>
              <w:tc>
                <w:tcPr>
                  <w:tcW w:w="245" w:type="dxa"/>
                </w:tcPr>
                <w:p w14:paraId="4088C9B2" w14:textId="7FD5039A" w:rsidR="00CC7D73" w:rsidRDefault="00CC7D73" w:rsidP="007770CB">
                  <w:pPr>
                    <w:pStyle w:val="Puces4"/>
                    <w:framePr w:hSpace="180" w:wrap="around" w:vAnchor="text" w:hAnchor="margin" w:xAlign="center" w:y="192"/>
                    <w:numPr>
                      <w:ilvl w:val="0"/>
                      <w:numId w:val="0"/>
                    </w:numPr>
                    <w:ind w:left="720"/>
                  </w:pPr>
                </w:p>
              </w:tc>
            </w:tr>
          </w:tbl>
          <w:p w14:paraId="7652B836" w14:textId="77777777" w:rsidR="00CF3F65" w:rsidRPr="004238D8" w:rsidRDefault="00CF3F65" w:rsidP="00CF3F65">
            <w:pPr>
              <w:pStyle w:val="Puces4"/>
              <w:numPr>
                <w:ilvl w:val="0"/>
                <w:numId w:val="0"/>
              </w:numPr>
              <w:ind w:left="360"/>
            </w:pPr>
          </w:p>
        </w:tc>
      </w:tr>
    </w:tbl>
    <w:p w14:paraId="539A0201" w14:textId="77777777" w:rsidR="00000000" w:rsidRDefault="00000000" w:rsidP="000E3EF7">
      <w:pPr>
        <w:spacing w:after="200" w:line="276" w:lineRule="auto"/>
        <w:jc w:val="left"/>
      </w:pPr>
    </w:p>
    <w:tbl>
      <w:tblPr>
        <w:tblpPr w:leftFromText="180" w:rightFromText="180" w:vertAnchor="text" w:horzAnchor="margin" w:tblpXSpec="center" w:tblpY="192"/>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0350"/>
        <w:gridCol w:w="111"/>
      </w:tblGrid>
      <w:tr w:rsidR="00EA3990" w:rsidRPr="00315425" w14:paraId="3338C2CB" w14:textId="77777777" w:rsidTr="006E7FBC">
        <w:trPr>
          <w:gridAfter w:val="1"/>
          <w:wAfter w:w="111" w:type="dxa"/>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564BC10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3DA0485" w14:textId="77777777" w:rsidTr="006E7FBC">
        <w:trPr>
          <w:gridAfter w:val="1"/>
          <w:wAfter w:w="111" w:type="dxa"/>
          <w:trHeight w:val="2970"/>
        </w:trPr>
        <w:tc>
          <w:tcPr>
            <w:tcW w:w="10458" w:type="dxa"/>
            <w:gridSpan w:val="2"/>
            <w:tcBorders>
              <w:top w:val="nil"/>
              <w:left w:val="single" w:sz="2" w:space="0" w:color="auto"/>
              <w:bottom w:val="single" w:sz="4" w:space="0" w:color="auto"/>
              <w:right w:val="single" w:sz="4" w:space="0" w:color="auto"/>
            </w:tcBorders>
          </w:tcPr>
          <w:p w14:paraId="2395C7C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5DE74FA1" w14:textId="77777777" w:rsidTr="0007446E">
              <w:tc>
                <w:tcPr>
                  <w:tcW w:w="4473" w:type="dxa"/>
                </w:tcPr>
                <w:p w14:paraId="441D0111" w14:textId="77777777" w:rsidR="00EA3990" w:rsidRPr="00375F11" w:rsidRDefault="00AA30B5" w:rsidP="006E7FBC">
                  <w:pPr>
                    <w:pStyle w:val="Puces4"/>
                    <w:framePr w:hSpace="180" w:wrap="around" w:vAnchor="text" w:hAnchor="margin" w:xAlign="center" w:y="192"/>
                  </w:pPr>
                  <w:r>
                    <w:t>Personal and influencing skills</w:t>
                  </w:r>
                </w:p>
              </w:tc>
              <w:tc>
                <w:tcPr>
                  <w:tcW w:w="4524" w:type="dxa"/>
                </w:tcPr>
                <w:p w14:paraId="27BECDBB" w14:textId="77777777" w:rsidR="00EA3990" w:rsidRPr="00375F11" w:rsidRDefault="00AA30B5" w:rsidP="006E7FBC">
                  <w:pPr>
                    <w:pStyle w:val="Puces4"/>
                    <w:framePr w:hSpace="180" w:wrap="around" w:vAnchor="text" w:hAnchor="margin" w:xAlign="center" w:y="192"/>
                    <w:rPr>
                      <w:rFonts w:eastAsia="Times New Roman"/>
                    </w:rPr>
                  </w:pPr>
                  <w:r w:rsidRPr="00AA30B5">
                    <w:rPr>
                      <w:rFonts w:eastAsia="Times New Roman"/>
                    </w:rPr>
                    <w:t>Driving for</w:t>
                  </w:r>
                  <w:r>
                    <w:rPr>
                      <w:rFonts w:eastAsia="Times New Roman"/>
                    </w:rPr>
                    <w:t xml:space="preserve"> </w:t>
                  </w:r>
                  <w:r w:rsidRPr="00AA30B5">
                    <w:rPr>
                      <w:rFonts w:eastAsia="Times New Roman"/>
                    </w:rPr>
                    <w:t xml:space="preserve">change </w:t>
                  </w:r>
                </w:p>
              </w:tc>
            </w:tr>
            <w:tr w:rsidR="00EA3990" w:rsidRPr="00375F11" w14:paraId="49E06EBB" w14:textId="77777777" w:rsidTr="0007446E">
              <w:tc>
                <w:tcPr>
                  <w:tcW w:w="4473" w:type="dxa"/>
                </w:tcPr>
                <w:p w14:paraId="0DE6C562" w14:textId="77777777" w:rsidR="00EA3990" w:rsidRPr="00375F11" w:rsidRDefault="00CC7D73" w:rsidP="006E7FBC">
                  <w:pPr>
                    <w:pStyle w:val="Puces4"/>
                    <w:framePr w:hSpace="180" w:wrap="around" w:vAnchor="text" w:hAnchor="margin" w:xAlign="center" w:y="192"/>
                    <w:rPr>
                      <w:rFonts w:eastAsia="Times New Roman"/>
                    </w:rPr>
                  </w:pPr>
                  <w:r w:rsidRPr="00CC7D73">
                    <w:rPr>
                      <w:rFonts w:eastAsia="Times New Roman"/>
                    </w:rPr>
                    <w:t>Strategy and</w:t>
                  </w:r>
                  <w:r>
                    <w:rPr>
                      <w:rFonts w:eastAsia="Times New Roman"/>
                    </w:rPr>
                    <w:t xml:space="preserve"> </w:t>
                  </w:r>
                  <w:r w:rsidRPr="00CC7D73">
                    <w:rPr>
                      <w:rFonts w:eastAsia="Times New Roman"/>
                    </w:rPr>
                    <w:t>implementation</w:t>
                  </w:r>
                </w:p>
              </w:tc>
              <w:tc>
                <w:tcPr>
                  <w:tcW w:w="4524" w:type="dxa"/>
                </w:tcPr>
                <w:p w14:paraId="692EF7AC" w14:textId="77777777" w:rsidR="00EA3990" w:rsidRPr="00375F11" w:rsidRDefault="00AA30B5" w:rsidP="006E7FBC">
                  <w:pPr>
                    <w:pStyle w:val="Puces4"/>
                    <w:framePr w:hSpace="180" w:wrap="around" w:vAnchor="text" w:hAnchor="margin" w:xAlign="center" w:y="192"/>
                    <w:rPr>
                      <w:rFonts w:eastAsia="Times New Roman"/>
                    </w:rPr>
                  </w:pPr>
                  <w:r w:rsidRPr="00AA30B5">
                    <w:rPr>
                      <w:rFonts w:eastAsia="Times New Roman"/>
                    </w:rPr>
                    <w:t>Intellectual agility and</w:t>
                  </w:r>
                  <w:r>
                    <w:rPr>
                      <w:rFonts w:eastAsia="Times New Roman"/>
                    </w:rPr>
                    <w:t xml:space="preserve"> </w:t>
                  </w:r>
                  <w:r w:rsidRPr="00AA30B5">
                    <w:rPr>
                      <w:rFonts w:eastAsia="Times New Roman"/>
                    </w:rPr>
                    <w:t>eagerness to</w:t>
                  </w:r>
                  <w:r>
                    <w:rPr>
                      <w:rFonts w:eastAsia="Times New Roman"/>
                    </w:rPr>
                    <w:t xml:space="preserve"> </w:t>
                  </w:r>
                  <w:r w:rsidRPr="00AA30B5">
                    <w:rPr>
                      <w:rFonts w:eastAsia="Times New Roman"/>
                    </w:rPr>
                    <w:t>learn</w:t>
                  </w:r>
                </w:p>
              </w:tc>
            </w:tr>
            <w:tr w:rsidR="00EA3990" w:rsidRPr="00375F11" w14:paraId="0E8600BE" w14:textId="77777777" w:rsidTr="0007446E">
              <w:tc>
                <w:tcPr>
                  <w:tcW w:w="4473" w:type="dxa"/>
                </w:tcPr>
                <w:p w14:paraId="4204CF54" w14:textId="77777777" w:rsidR="00EA3990" w:rsidRPr="00375F11" w:rsidRDefault="00AA30B5" w:rsidP="006E7FBC">
                  <w:pPr>
                    <w:pStyle w:val="Puces4"/>
                    <w:framePr w:hSpace="180" w:wrap="around" w:vAnchor="text" w:hAnchor="margin" w:xAlign="center" w:y="192"/>
                    <w:rPr>
                      <w:rFonts w:eastAsia="Times New Roman"/>
                    </w:rPr>
                  </w:pPr>
                  <w:r w:rsidRPr="00AA30B5">
                    <w:rPr>
                      <w:rFonts w:eastAsia="Times New Roman"/>
                    </w:rPr>
                    <w:t>Leading for</w:t>
                  </w:r>
                  <w:r>
                    <w:rPr>
                      <w:rFonts w:eastAsia="Times New Roman"/>
                    </w:rPr>
                    <w:t xml:space="preserve"> </w:t>
                  </w:r>
                  <w:r w:rsidRPr="00AA30B5">
                    <w:rPr>
                      <w:rFonts w:eastAsia="Times New Roman"/>
                    </w:rPr>
                    <w:t>excellence</w:t>
                  </w:r>
                </w:p>
              </w:tc>
              <w:tc>
                <w:tcPr>
                  <w:tcW w:w="4524" w:type="dxa"/>
                </w:tcPr>
                <w:p w14:paraId="4D92A9B9" w14:textId="77777777" w:rsidR="00EA3990" w:rsidRPr="00375F11" w:rsidRDefault="00AA30B5" w:rsidP="006E7FBC">
                  <w:pPr>
                    <w:pStyle w:val="Puces4"/>
                    <w:framePr w:hSpace="180" w:wrap="around" w:vAnchor="text" w:hAnchor="margin" w:xAlign="center" w:y="192"/>
                    <w:rPr>
                      <w:rFonts w:eastAsia="Times New Roman"/>
                    </w:rPr>
                  </w:pPr>
                  <w:r w:rsidRPr="00AA30B5">
                    <w:rPr>
                      <w:rFonts w:eastAsia="Times New Roman"/>
                    </w:rPr>
                    <w:t>Focusing on</w:t>
                  </w:r>
                  <w:r>
                    <w:rPr>
                      <w:rFonts w:eastAsia="Times New Roman"/>
                    </w:rPr>
                    <w:t xml:space="preserve"> </w:t>
                  </w:r>
                  <w:r w:rsidRPr="00AA30B5">
                    <w:rPr>
                      <w:rFonts w:eastAsia="Times New Roman"/>
                    </w:rPr>
                    <w:t>client and</w:t>
                  </w:r>
                  <w:r>
                    <w:rPr>
                      <w:rFonts w:eastAsia="Times New Roman"/>
                    </w:rPr>
                    <w:t xml:space="preserve"> </w:t>
                  </w:r>
                  <w:r w:rsidRPr="00AA30B5">
                    <w:rPr>
                      <w:rFonts w:eastAsia="Times New Roman"/>
                    </w:rPr>
                    <w:t>customer</w:t>
                  </w:r>
                </w:p>
              </w:tc>
            </w:tr>
            <w:tr w:rsidR="00EA3990" w14:paraId="490CCB5B" w14:textId="77777777" w:rsidTr="0007446E">
              <w:tc>
                <w:tcPr>
                  <w:tcW w:w="4473" w:type="dxa"/>
                </w:tcPr>
                <w:p w14:paraId="45D72708" w14:textId="77777777" w:rsidR="00EA3990" w:rsidRDefault="00256DCE" w:rsidP="006E7FBC">
                  <w:pPr>
                    <w:pStyle w:val="Puces4"/>
                    <w:framePr w:hSpace="180" w:wrap="around" w:vAnchor="text" w:hAnchor="margin" w:xAlign="center" w:y="192"/>
                    <w:rPr>
                      <w:rFonts w:eastAsia="Times New Roman"/>
                    </w:rPr>
                  </w:pPr>
                  <w:r w:rsidRPr="00256DCE">
                    <w:rPr>
                      <w:rFonts w:eastAsia="Times New Roman"/>
                    </w:rPr>
                    <w:t>Builds a network of peers within the</w:t>
                  </w:r>
                  <w:r>
                    <w:rPr>
                      <w:rFonts w:eastAsia="Times New Roman"/>
                    </w:rPr>
                    <w:t xml:space="preserve"> </w:t>
                  </w:r>
                  <w:r w:rsidRPr="00256DCE">
                    <w:rPr>
                      <w:rFonts w:eastAsia="Times New Roman"/>
                    </w:rPr>
                    <w:t>industry</w:t>
                  </w:r>
                </w:p>
              </w:tc>
              <w:tc>
                <w:tcPr>
                  <w:tcW w:w="4524" w:type="dxa"/>
                </w:tcPr>
                <w:p w14:paraId="6A01259C" w14:textId="77777777" w:rsidR="00EA3990" w:rsidRDefault="00247B50" w:rsidP="006E7FBC">
                  <w:pPr>
                    <w:pStyle w:val="Puces4"/>
                    <w:framePr w:hSpace="180" w:wrap="around" w:vAnchor="text" w:hAnchor="margin" w:xAlign="center" w:y="192"/>
                    <w:jc w:val="left"/>
                    <w:rPr>
                      <w:rFonts w:eastAsia="Times New Roman"/>
                    </w:rPr>
                  </w:pPr>
                  <w:r w:rsidRPr="00247B50">
                    <w:rPr>
                      <w:rFonts w:eastAsia="Times New Roman"/>
                    </w:rPr>
                    <w:t>Identifies and engages key stakeholders</w:t>
                  </w:r>
                  <w:r>
                    <w:rPr>
                      <w:rFonts w:eastAsia="Times New Roman"/>
                    </w:rPr>
                    <w:t xml:space="preserve"> </w:t>
                  </w:r>
                  <w:r w:rsidRPr="00247B50">
                    <w:rPr>
                      <w:rFonts w:eastAsia="Times New Roman"/>
                    </w:rPr>
                    <w:t>across the business to enhance overall</w:t>
                  </w:r>
                  <w:r>
                    <w:rPr>
                      <w:rFonts w:eastAsia="Times New Roman"/>
                    </w:rPr>
                    <w:t xml:space="preserve"> </w:t>
                  </w:r>
                  <w:r w:rsidRPr="00247B50">
                    <w:rPr>
                      <w:rFonts w:eastAsia="Times New Roman"/>
                    </w:rPr>
                    <w:t>performance</w:t>
                  </w:r>
                </w:p>
              </w:tc>
            </w:tr>
            <w:tr w:rsidR="00EA3990" w14:paraId="24151356" w14:textId="77777777" w:rsidTr="0007446E">
              <w:tc>
                <w:tcPr>
                  <w:tcW w:w="4473" w:type="dxa"/>
                </w:tcPr>
                <w:p w14:paraId="0AE23B4D" w14:textId="77777777" w:rsidR="00EA3990" w:rsidRDefault="00AA30B5" w:rsidP="006E7FBC">
                  <w:pPr>
                    <w:pStyle w:val="Puces4"/>
                    <w:framePr w:hSpace="180" w:wrap="around" w:vAnchor="text" w:hAnchor="margin" w:xAlign="center" w:y="192"/>
                    <w:rPr>
                      <w:rFonts w:eastAsia="Times New Roman"/>
                    </w:rPr>
                  </w:pPr>
                  <w:r w:rsidRPr="00AA30B5">
                    <w:rPr>
                      <w:rFonts w:eastAsia="Times New Roman"/>
                    </w:rPr>
                    <w:t>Promoting</w:t>
                  </w:r>
                  <w:r>
                    <w:rPr>
                      <w:rFonts w:eastAsia="Times New Roman"/>
                    </w:rPr>
                    <w:t xml:space="preserve"> </w:t>
                  </w:r>
                  <w:r w:rsidRPr="00AA30B5">
                    <w:rPr>
                      <w:rFonts w:eastAsia="Times New Roman"/>
                    </w:rPr>
                    <w:t>the brand</w:t>
                  </w:r>
                </w:p>
              </w:tc>
              <w:tc>
                <w:tcPr>
                  <w:tcW w:w="4524" w:type="dxa"/>
                </w:tcPr>
                <w:p w14:paraId="2409B943" w14:textId="77777777" w:rsidR="00EA3990" w:rsidRPr="005E2A3C" w:rsidRDefault="00247B50" w:rsidP="006E7FBC">
                  <w:pPr>
                    <w:pStyle w:val="Puces4"/>
                    <w:framePr w:hSpace="180" w:wrap="around" w:vAnchor="text" w:hAnchor="margin" w:xAlign="center" w:y="192"/>
                  </w:pPr>
                  <w:r w:rsidRPr="00247B50">
                    <w:t>Shares learning across the business to</w:t>
                  </w:r>
                  <w:r w:rsidR="005E2A3C">
                    <w:t xml:space="preserve"> </w:t>
                  </w:r>
                  <w:r w:rsidRPr="005E2A3C">
                    <w:rPr>
                      <w:rFonts w:eastAsia="Times New Roman"/>
                    </w:rPr>
                    <w:t>determine “best practice”</w:t>
                  </w:r>
                </w:p>
              </w:tc>
            </w:tr>
          </w:tbl>
          <w:p w14:paraId="57939578" w14:textId="77777777" w:rsidR="00EA3990" w:rsidRPr="00EA3990" w:rsidRDefault="00EA3990" w:rsidP="00EA3990">
            <w:pPr>
              <w:spacing w:before="40"/>
              <w:ind w:left="720"/>
              <w:jc w:val="left"/>
              <w:rPr>
                <w:rFonts w:cs="Arial"/>
                <w:color w:val="000000" w:themeColor="text1"/>
                <w:szCs w:val="20"/>
                <w:lang w:val="en-GB"/>
              </w:rPr>
            </w:pPr>
          </w:p>
        </w:tc>
      </w:tr>
      <w:tr w:rsidR="006E7FBC" w:rsidRPr="00315425" w14:paraId="69F81815" w14:textId="77777777" w:rsidTr="006E7FBC">
        <w:trPr>
          <w:gridBefore w:val="1"/>
          <w:wBefore w:w="108" w:type="dxa"/>
          <w:trHeight w:val="709"/>
        </w:trPr>
        <w:tc>
          <w:tcPr>
            <w:tcW w:w="10461"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0080D856" w14:textId="77777777" w:rsidR="006E7FBC" w:rsidRPr="00FB6D69" w:rsidRDefault="006E7FBC" w:rsidP="001B73BF">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E7FBC" w:rsidRPr="00062691" w14:paraId="235B4225" w14:textId="77777777" w:rsidTr="006E7FBC">
        <w:trPr>
          <w:gridBefore w:val="1"/>
          <w:wBefore w:w="108" w:type="dxa"/>
          <w:trHeight w:val="620"/>
        </w:trPr>
        <w:tc>
          <w:tcPr>
            <w:tcW w:w="10461" w:type="dxa"/>
            <w:gridSpan w:val="2"/>
            <w:tcBorders>
              <w:top w:val="nil"/>
              <w:left w:val="single" w:sz="2" w:space="0" w:color="auto"/>
              <w:bottom w:val="single" w:sz="4" w:space="0" w:color="auto"/>
              <w:right w:val="single" w:sz="4" w:space="0" w:color="auto"/>
            </w:tcBorders>
          </w:tcPr>
          <w:p w14:paraId="6DC0CA59" w14:textId="77777777" w:rsidR="006E7FBC" w:rsidRDefault="006E7FBC" w:rsidP="001B73BF">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6E7FBC" w14:paraId="6928D32E" w14:textId="77777777" w:rsidTr="001B73BF">
              <w:tc>
                <w:tcPr>
                  <w:tcW w:w="2122" w:type="dxa"/>
                </w:tcPr>
                <w:p w14:paraId="181FB324" w14:textId="77777777" w:rsidR="006E7FBC" w:rsidRDefault="006E7FBC" w:rsidP="001B73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3283AD5" w14:textId="77777777" w:rsidR="006E7FBC" w:rsidRDefault="006E7FBC" w:rsidP="001B73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0965AD30" w14:textId="77777777" w:rsidR="006E7FBC" w:rsidRDefault="006E7FBC" w:rsidP="001B73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CB1B992" w14:textId="6F1CEBF6" w:rsidR="006E7FBC" w:rsidRDefault="006E7FBC" w:rsidP="001B73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14/09/24</w:t>
                  </w:r>
                </w:p>
              </w:tc>
            </w:tr>
            <w:tr w:rsidR="006E7FBC" w14:paraId="32A8B556" w14:textId="77777777" w:rsidTr="001B73BF">
              <w:tc>
                <w:tcPr>
                  <w:tcW w:w="2122" w:type="dxa"/>
                </w:tcPr>
                <w:p w14:paraId="5E3A6DF1" w14:textId="77777777" w:rsidR="006E7FBC" w:rsidRDefault="006E7FBC" w:rsidP="001B73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298956A" w14:textId="46B11487" w:rsidR="006E7FBC" w:rsidRDefault="006E7FBC" w:rsidP="001B73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Jo Seaton</w:t>
                  </w:r>
                </w:p>
              </w:tc>
            </w:tr>
          </w:tbl>
          <w:p w14:paraId="0D417612" w14:textId="77777777" w:rsidR="006E7FBC" w:rsidRPr="00EA3990" w:rsidRDefault="006E7FBC" w:rsidP="001B73BF">
            <w:pPr>
              <w:spacing w:before="40"/>
              <w:ind w:left="720"/>
              <w:jc w:val="left"/>
              <w:rPr>
                <w:rFonts w:cs="Arial"/>
                <w:color w:val="000000" w:themeColor="text1"/>
                <w:szCs w:val="20"/>
                <w:lang w:val="en-GB"/>
              </w:rPr>
            </w:pPr>
          </w:p>
        </w:tc>
      </w:tr>
    </w:tbl>
    <w:p w14:paraId="7F05425B" w14:textId="77777777" w:rsidR="006E7FBC" w:rsidRDefault="006E7FBC" w:rsidP="006E7FBC">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E7FBC" w:rsidRPr="00FB6D69" w14:paraId="40F0DA9C" w14:textId="77777777" w:rsidTr="001B73B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CF90C0" w14:textId="77777777" w:rsidR="006E7FBC" w:rsidRPr="00FB6D69" w:rsidRDefault="006E7FBC" w:rsidP="001B73BF">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6E7FBC" w:rsidRPr="00EA3990" w14:paraId="4702C5FA" w14:textId="77777777" w:rsidTr="001B73BF">
        <w:trPr>
          <w:trHeight w:val="620"/>
        </w:trPr>
        <w:tc>
          <w:tcPr>
            <w:tcW w:w="10456" w:type="dxa"/>
            <w:tcBorders>
              <w:top w:val="nil"/>
              <w:left w:val="single" w:sz="2" w:space="0" w:color="auto"/>
              <w:bottom w:val="single" w:sz="4" w:space="0" w:color="auto"/>
              <w:right w:val="single" w:sz="4" w:space="0" w:color="auto"/>
            </w:tcBorders>
          </w:tcPr>
          <w:p w14:paraId="72FF69BC" w14:textId="77777777" w:rsidR="006E7FBC" w:rsidRDefault="006E7FBC" w:rsidP="001B73BF">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6E7FBC" w14:paraId="781242F1" w14:textId="77777777" w:rsidTr="001B73BF">
              <w:tc>
                <w:tcPr>
                  <w:tcW w:w="2122" w:type="dxa"/>
                </w:tcPr>
                <w:p w14:paraId="4B88540C" w14:textId="77777777" w:rsidR="006E7FBC" w:rsidRDefault="006E7FBC" w:rsidP="001B73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480D28D9" w14:textId="77777777" w:rsidR="006E7FBC" w:rsidRDefault="006E7FBC" w:rsidP="001B73BF">
                  <w:pPr>
                    <w:framePr w:hSpace="180" w:wrap="around" w:vAnchor="text" w:hAnchor="margin" w:xAlign="center" w:y="192"/>
                    <w:spacing w:before="40"/>
                    <w:jc w:val="left"/>
                    <w:rPr>
                      <w:rFonts w:cs="Arial"/>
                      <w:color w:val="000000" w:themeColor="text1"/>
                      <w:szCs w:val="20"/>
                      <w:lang w:val="en-GB"/>
                    </w:rPr>
                  </w:pPr>
                </w:p>
              </w:tc>
              <w:tc>
                <w:tcPr>
                  <w:tcW w:w="2557" w:type="dxa"/>
                </w:tcPr>
                <w:p w14:paraId="3BE4FA87" w14:textId="77777777" w:rsidR="006E7FBC" w:rsidRDefault="006E7FBC" w:rsidP="001B73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A6BE3E2" w14:textId="77777777" w:rsidR="006E7FBC" w:rsidRDefault="006E7FBC" w:rsidP="001B73BF">
                  <w:pPr>
                    <w:framePr w:hSpace="180" w:wrap="around" w:vAnchor="text" w:hAnchor="margin" w:xAlign="center" w:y="192"/>
                    <w:spacing w:before="40"/>
                    <w:jc w:val="left"/>
                    <w:rPr>
                      <w:rFonts w:cs="Arial"/>
                      <w:color w:val="000000" w:themeColor="text1"/>
                      <w:szCs w:val="20"/>
                      <w:lang w:val="en-GB"/>
                    </w:rPr>
                  </w:pPr>
                </w:p>
              </w:tc>
            </w:tr>
          </w:tbl>
          <w:p w14:paraId="6F9F22B1" w14:textId="77777777" w:rsidR="006E7FBC" w:rsidRPr="00EA3990" w:rsidRDefault="006E7FBC" w:rsidP="001B73BF">
            <w:pPr>
              <w:spacing w:before="40"/>
              <w:ind w:left="720"/>
              <w:jc w:val="left"/>
              <w:rPr>
                <w:rFonts w:cs="Arial"/>
                <w:color w:val="000000" w:themeColor="text1"/>
                <w:szCs w:val="20"/>
                <w:lang w:val="en-GB"/>
              </w:rPr>
            </w:pPr>
          </w:p>
        </w:tc>
      </w:tr>
    </w:tbl>
    <w:p w14:paraId="6DEC39AE"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6.75pt;height:9.75pt" o:bullet="t">
        <v:imagedata r:id="rId1" o:title="carre-rouge"/>
      </v:shape>
    </w:pict>
  </w:numPicBullet>
  <w:abstractNum w:abstractNumId="0" w15:restartNumberingAfterBreak="0">
    <w:nsid w:val="02D96681"/>
    <w:multiLevelType w:val="hybridMultilevel"/>
    <w:tmpl w:val="F4FE52A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13C4C0AE"/>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07E07"/>
    <w:multiLevelType w:val="hybridMultilevel"/>
    <w:tmpl w:val="F8EAF5E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981390">
    <w:abstractNumId w:val="7"/>
  </w:num>
  <w:num w:numId="2" w16cid:durableId="1879735146">
    <w:abstractNumId w:val="10"/>
  </w:num>
  <w:num w:numId="3" w16cid:durableId="627587688">
    <w:abstractNumId w:val="1"/>
  </w:num>
  <w:num w:numId="4" w16cid:durableId="1502551139">
    <w:abstractNumId w:val="9"/>
  </w:num>
  <w:num w:numId="5" w16cid:durableId="1025909815">
    <w:abstractNumId w:val="5"/>
  </w:num>
  <w:num w:numId="6" w16cid:durableId="654337052">
    <w:abstractNumId w:val="3"/>
  </w:num>
  <w:num w:numId="7" w16cid:durableId="947276293">
    <w:abstractNumId w:val="11"/>
  </w:num>
  <w:num w:numId="8" w16cid:durableId="1967815045">
    <w:abstractNumId w:val="6"/>
  </w:num>
  <w:num w:numId="9" w16cid:durableId="1280409307">
    <w:abstractNumId w:val="14"/>
  </w:num>
  <w:num w:numId="10" w16cid:durableId="784227981">
    <w:abstractNumId w:val="15"/>
  </w:num>
  <w:num w:numId="11" w16cid:durableId="116024322">
    <w:abstractNumId w:val="8"/>
  </w:num>
  <w:num w:numId="12" w16cid:durableId="1597131512">
    <w:abstractNumId w:val="0"/>
  </w:num>
  <w:num w:numId="13" w16cid:durableId="1105929931">
    <w:abstractNumId w:val="12"/>
  </w:num>
  <w:num w:numId="14" w16cid:durableId="831220283">
    <w:abstractNumId w:val="4"/>
  </w:num>
  <w:num w:numId="15" w16cid:durableId="81293920">
    <w:abstractNumId w:val="13"/>
  </w:num>
  <w:num w:numId="16" w16cid:durableId="781611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12299"/>
    <w:rsid w:val="00023BCF"/>
    <w:rsid w:val="0003620F"/>
    <w:rsid w:val="000C4A9F"/>
    <w:rsid w:val="000E3EF7"/>
    <w:rsid w:val="00104BDE"/>
    <w:rsid w:val="00114122"/>
    <w:rsid w:val="0013032E"/>
    <w:rsid w:val="001374F0"/>
    <w:rsid w:val="00144E5D"/>
    <w:rsid w:val="00154554"/>
    <w:rsid w:val="001F1F6A"/>
    <w:rsid w:val="00210A7A"/>
    <w:rsid w:val="00223EE6"/>
    <w:rsid w:val="00247B50"/>
    <w:rsid w:val="00256DCE"/>
    <w:rsid w:val="00293E5D"/>
    <w:rsid w:val="002B1DC6"/>
    <w:rsid w:val="002F4741"/>
    <w:rsid w:val="0030606A"/>
    <w:rsid w:val="0031586C"/>
    <w:rsid w:val="00366A73"/>
    <w:rsid w:val="00377DC4"/>
    <w:rsid w:val="00386343"/>
    <w:rsid w:val="003A26C4"/>
    <w:rsid w:val="003B2817"/>
    <w:rsid w:val="003F0321"/>
    <w:rsid w:val="004238D8"/>
    <w:rsid w:val="00424476"/>
    <w:rsid w:val="004432F1"/>
    <w:rsid w:val="00481B85"/>
    <w:rsid w:val="004C15B0"/>
    <w:rsid w:val="004D170A"/>
    <w:rsid w:val="00514223"/>
    <w:rsid w:val="00520545"/>
    <w:rsid w:val="005427E0"/>
    <w:rsid w:val="005C4818"/>
    <w:rsid w:val="005E2A3C"/>
    <w:rsid w:val="005E5B63"/>
    <w:rsid w:val="00613392"/>
    <w:rsid w:val="00616B0B"/>
    <w:rsid w:val="00646B79"/>
    <w:rsid w:val="00656519"/>
    <w:rsid w:val="00674674"/>
    <w:rsid w:val="006802C0"/>
    <w:rsid w:val="006E7FBC"/>
    <w:rsid w:val="00745A24"/>
    <w:rsid w:val="00756AF5"/>
    <w:rsid w:val="007770CB"/>
    <w:rsid w:val="007F1554"/>
    <w:rsid w:val="007F602D"/>
    <w:rsid w:val="008A7D2E"/>
    <w:rsid w:val="008B64DE"/>
    <w:rsid w:val="008D1A2B"/>
    <w:rsid w:val="00946631"/>
    <w:rsid w:val="0096213F"/>
    <w:rsid w:val="009A56C1"/>
    <w:rsid w:val="009E6941"/>
    <w:rsid w:val="00A207BC"/>
    <w:rsid w:val="00A37146"/>
    <w:rsid w:val="00A80A48"/>
    <w:rsid w:val="00AA30B5"/>
    <w:rsid w:val="00AD1DEC"/>
    <w:rsid w:val="00B32609"/>
    <w:rsid w:val="00B70457"/>
    <w:rsid w:val="00BB584E"/>
    <w:rsid w:val="00C1061A"/>
    <w:rsid w:val="00C206D3"/>
    <w:rsid w:val="00C4467B"/>
    <w:rsid w:val="00C4695A"/>
    <w:rsid w:val="00C5433E"/>
    <w:rsid w:val="00C61430"/>
    <w:rsid w:val="00C6382C"/>
    <w:rsid w:val="00C65163"/>
    <w:rsid w:val="00C802F2"/>
    <w:rsid w:val="00CB2938"/>
    <w:rsid w:val="00CC0297"/>
    <w:rsid w:val="00CC2929"/>
    <w:rsid w:val="00CC7D73"/>
    <w:rsid w:val="00CE0011"/>
    <w:rsid w:val="00CF3F65"/>
    <w:rsid w:val="00D55F18"/>
    <w:rsid w:val="00D949FB"/>
    <w:rsid w:val="00DA6093"/>
    <w:rsid w:val="00DE5E49"/>
    <w:rsid w:val="00E31AA0"/>
    <w:rsid w:val="00E33C91"/>
    <w:rsid w:val="00E54304"/>
    <w:rsid w:val="00E75731"/>
    <w:rsid w:val="00E86121"/>
    <w:rsid w:val="00EA3990"/>
    <w:rsid w:val="00EA4C16"/>
    <w:rsid w:val="00EA5822"/>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9BB8"/>
  <w15:docId w15:val="{AE2668BD-CBF8-406C-BE2B-1B746223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table" w:styleId="TableGrid">
    <w:name w:val="Table Grid"/>
    <w:basedOn w:val="TableNormal"/>
    <w:uiPriority w:val="59"/>
    <w:rsid w:val="00CF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DF72-0223-4402-A045-1D7C1EE29197}" type="doc">
      <dgm:prSet loTypeId="urn:microsoft.com/office/officeart/2005/8/layout/orgChart1" loCatId="hierarchy" qsTypeId="urn:microsoft.com/office/officeart/2005/8/quickstyle/simple1" qsCatId="simple" csTypeId="urn:microsoft.com/office/officeart/2005/8/colors/accent1_2" csCatId="accent1" phldr="1"/>
      <dgm:spPr/>
    </dgm:pt>
    <dgm:pt modelId="{1381E1CF-F775-4651-A33C-2BAAE2F4D8B4}">
      <dgm:prSet/>
      <dgm:spPr/>
      <dgm:t>
        <a:bodyPr/>
        <a:lstStyle/>
        <a:p>
          <a:pPr marR="0" algn="ctr" rtl="0"/>
          <a:endParaRPr lang="en-GB" b="0" i="0" u="none" strike="noStrike" baseline="0">
            <a:latin typeface="Times New Roman"/>
          </a:endParaRPr>
        </a:p>
        <a:p>
          <a:pPr marR="0" algn="ctr" rtl="0"/>
          <a:r>
            <a:rPr lang="en-GB" b="0" i="1" u="none" strike="noStrike" baseline="0">
              <a:latin typeface="Calibri"/>
            </a:rPr>
            <a:t>Finance Director</a:t>
          </a:r>
          <a:endParaRPr lang="en-GB" i="1"/>
        </a:p>
      </dgm:t>
    </dgm:pt>
    <dgm:pt modelId="{AE5A7D4A-D963-40D5-80F1-3F8A52D6AEA2}" type="parTrans" cxnId="{04E81670-DA6A-487C-A2B0-34891318F078}">
      <dgm:prSet/>
      <dgm:spPr/>
      <dgm:t>
        <a:bodyPr/>
        <a:lstStyle/>
        <a:p>
          <a:endParaRPr lang="en-GB"/>
        </a:p>
      </dgm:t>
    </dgm:pt>
    <dgm:pt modelId="{386F5C2E-2E4B-434F-BF70-4FDEC8697868}" type="sibTrans" cxnId="{04E81670-DA6A-487C-A2B0-34891318F078}">
      <dgm:prSet/>
      <dgm:spPr/>
      <dgm:t>
        <a:bodyPr/>
        <a:lstStyle/>
        <a:p>
          <a:endParaRPr lang="en-GB"/>
        </a:p>
      </dgm:t>
    </dgm:pt>
    <dgm:pt modelId="{FAA11379-508C-47B5-A926-55BD147FCDCC}">
      <dgm:prSet/>
      <dgm:spPr/>
      <dgm:t>
        <a:bodyPr/>
        <a:lstStyle/>
        <a:p>
          <a:pPr marR="0" algn="ctr" rtl="0"/>
          <a:r>
            <a:rPr lang="en-GB"/>
            <a:t>SPV General Manager</a:t>
          </a:r>
        </a:p>
      </dgm:t>
    </dgm:pt>
    <dgm:pt modelId="{0075CBD7-1DAF-427A-B16A-39E8833D26DB}" type="parTrans" cxnId="{75982BFB-41FA-4BE4-BF4E-B007F6B3CE38}">
      <dgm:prSet/>
      <dgm:spPr/>
      <dgm:t>
        <a:bodyPr/>
        <a:lstStyle/>
        <a:p>
          <a:endParaRPr lang="en-GB"/>
        </a:p>
      </dgm:t>
    </dgm:pt>
    <dgm:pt modelId="{19A69F21-FA7B-4244-8696-782D430443A0}" type="sibTrans" cxnId="{75982BFB-41FA-4BE4-BF4E-B007F6B3CE38}">
      <dgm:prSet/>
      <dgm:spPr/>
      <dgm:t>
        <a:bodyPr/>
        <a:lstStyle/>
        <a:p>
          <a:endParaRPr lang="en-GB"/>
        </a:p>
      </dgm:t>
    </dgm:pt>
    <dgm:pt modelId="{E52A3626-C1D9-4775-82A7-31739488E290}">
      <dgm:prSet/>
      <dgm:spPr/>
      <dgm:t>
        <a:bodyPr/>
        <a:lstStyle/>
        <a:p>
          <a:pPr marR="0" algn="ctr" rtl="0"/>
          <a:r>
            <a:rPr lang="en-GB"/>
            <a:t>Commercial Finance Managers (x5)</a:t>
          </a:r>
        </a:p>
      </dgm:t>
    </dgm:pt>
    <dgm:pt modelId="{91C5CF23-5999-4376-B758-24887C55B882}" type="parTrans" cxnId="{BDBDD557-4FA0-43C3-B230-3272F55FFE05}">
      <dgm:prSet/>
      <dgm:spPr/>
      <dgm:t>
        <a:bodyPr/>
        <a:lstStyle/>
        <a:p>
          <a:endParaRPr lang="en-GB"/>
        </a:p>
      </dgm:t>
    </dgm:pt>
    <dgm:pt modelId="{F5779DE9-E7C4-48F9-83F2-27549D9C3D55}" type="sibTrans" cxnId="{BDBDD557-4FA0-43C3-B230-3272F55FFE05}">
      <dgm:prSet/>
      <dgm:spPr/>
      <dgm:t>
        <a:bodyPr/>
        <a:lstStyle/>
        <a:p>
          <a:endParaRPr lang="en-GB"/>
        </a:p>
      </dgm:t>
    </dgm:pt>
    <dgm:pt modelId="{128C200B-D84C-4B73-A66A-6A3E77A617A7}" type="pres">
      <dgm:prSet presAssocID="{0017DF72-0223-4402-A045-1D7C1EE29197}" presName="hierChild1" presStyleCnt="0">
        <dgm:presLayoutVars>
          <dgm:orgChart val="1"/>
          <dgm:chPref val="1"/>
          <dgm:dir val="rev"/>
          <dgm:animOne val="branch"/>
          <dgm:animLvl val="lvl"/>
          <dgm:resizeHandles/>
        </dgm:presLayoutVars>
      </dgm:prSet>
      <dgm:spPr/>
    </dgm:pt>
    <dgm:pt modelId="{09BE03DF-4198-496A-B9E5-26F5DA57EB87}" type="pres">
      <dgm:prSet presAssocID="{1381E1CF-F775-4651-A33C-2BAAE2F4D8B4}" presName="hierRoot1" presStyleCnt="0">
        <dgm:presLayoutVars>
          <dgm:hierBranch/>
        </dgm:presLayoutVars>
      </dgm:prSet>
      <dgm:spPr/>
    </dgm:pt>
    <dgm:pt modelId="{930D634E-E6FA-4A15-A2F3-9B74FA061A4D}" type="pres">
      <dgm:prSet presAssocID="{1381E1CF-F775-4651-A33C-2BAAE2F4D8B4}" presName="rootComposite1" presStyleCnt="0"/>
      <dgm:spPr/>
    </dgm:pt>
    <dgm:pt modelId="{EB72F3BC-7877-4030-8C0D-67D4D7C4ABDD}" type="pres">
      <dgm:prSet presAssocID="{1381E1CF-F775-4651-A33C-2BAAE2F4D8B4}" presName="rootText1" presStyleLbl="node0" presStyleIdx="0" presStyleCnt="1" custLinFactNeighborX="1537" custLinFactNeighborY="-187">
        <dgm:presLayoutVars>
          <dgm:chPref val="3"/>
        </dgm:presLayoutVars>
      </dgm:prSet>
      <dgm:spPr/>
    </dgm:pt>
    <dgm:pt modelId="{784ED30C-3CA7-4971-9FE9-4ABE002E1EE1}" type="pres">
      <dgm:prSet presAssocID="{1381E1CF-F775-4651-A33C-2BAAE2F4D8B4}" presName="rootConnector1" presStyleLbl="node1" presStyleIdx="0" presStyleCnt="0"/>
      <dgm:spPr/>
    </dgm:pt>
    <dgm:pt modelId="{A98B48F6-68C5-45AB-A4EE-CB23A7A6E630}" type="pres">
      <dgm:prSet presAssocID="{1381E1CF-F775-4651-A33C-2BAAE2F4D8B4}" presName="hierChild2" presStyleCnt="0"/>
      <dgm:spPr/>
    </dgm:pt>
    <dgm:pt modelId="{1E04B5E6-09CD-4F7F-A4D7-DF51AFE5D1A6}" type="pres">
      <dgm:prSet presAssocID="{0075CBD7-1DAF-427A-B16A-39E8833D26DB}" presName="Name35" presStyleLbl="parChTrans1D2" presStyleIdx="0" presStyleCnt="2"/>
      <dgm:spPr/>
    </dgm:pt>
    <dgm:pt modelId="{4D7C373D-4837-4B88-90E3-84A04693FCD2}" type="pres">
      <dgm:prSet presAssocID="{FAA11379-508C-47B5-A926-55BD147FCDCC}" presName="hierRoot2" presStyleCnt="0">
        <dgm:presLayoutVars>
          <dgm:hierBranch/>
        </dgm:presLayoutVars>
      </dgm:prSet>
      <dgm:spPr/>
    </dgm:pt>
    <dgm:pt modelId="{D919D4AE-2078-420F-BB70-D37796649A1D}" type="pres">
      <dgm:prSet presAssocID="{FAA11379-508C-47B5-A926-55BD147FCDCC}" presName="rootComposite" presStyleCnt="0"/>
      <dgm:spPr/>
    </dgm:pt>
    <dgm:pt modelId="{1A765FF0-B91C-427A-B3E2-2C215441FC52}" type="pres">
      <dgm:prSet presAssocID="{FAA11379-508C-47B5-A926-55BD147FCDCC}" presName="rootText" presStyleLbl="node2" presStyleIdx="0" presStyleCnt="2">
        <dgm:presLayoutVars>
          <dgm:chPref val="3"/>
        </dgm:presLayoutVars>
      </dgm:prSet>
      <dgm:spPr/>
    </dgm:pt>
    <dgm:pt modelId="{FD449FD0-0874-4142-AA7E-0F3D1986DFBA}" type="pres">
      <dgm:prSet presAssocID="{FAA11379-508C-47B5-A926-55BD147FCDCC}" presName="rootConnector" presStyleLbl="node2" presStyleIdx="0" presStyleCnt="2"/>
      <dgm:spPr/>
    </dgm:pt>
    <dgm:pt modelId="{29A58E52-CF0A-4934-AE25-C3BCB88B6A8C}" type="pres">
      <dgm:prSet presAssocID="{FAA11379-508C-47B5-A926-55BD147FCDCC}" presName="hierChild4" presStyleCnt="0"/>
      <dgm:spPr/>
    </dgm:pt>
    <dgm:pt modelId="{E577C7F3-1E67-4D68-BA25-ECC50BC75777}" type="pres">
      <dgm:prSet presAssocID="{FAA11379-508C-47B5-A926-55BD147FCDCC}" presName="hierChild5" presStyleCnt="0"/>
      <dgm:spPr/>
    </dgm:pt>
    <dgm:pt modelId="{3B1A5272-F347-4D60-BFA8-F429C1FFF403}" type="pres">
      <dgm:prSet presAssocID="{91C5CF23-5999-4376-B758-24887C55B882}" presName="Name35" presStyleLbl="parChTrans1D2" presStyleIdx="1" presStyleCnt="2"/>
      <dgm:spPr/>
    </dgm:pt>
    <dgm:pt modelId="{C8645281-F0A2-4E58-A956-6B06481CF73D}" type="pres">
      <dgm:prSet presAssocID="{E52A3626-C1D9-4775-82A7-31739488E290}" presName="hierRoot2" presStyleCnt="0">
        <dgm:presLayoutVars>
          <dgm:hierBranch val="init"/>
        </dgm:presLayoutVars>
      </dgm:prSet>
      <dgm:spPr/>
    </dgm:pt>
    <dgm:pt modelId="{1FC8D84E-EEE8-4E09-AC5A-F97EE6D6A07F}" type="pres">
      <dgm:prSet presAssocID="{E52A3626-C1D9-4775-82A7-31739488E290}" presName="rootComposite" presStyleCnt="0"/>
      <dgm:spPr/>
    </dgm:pt>
    <dgm:pt modelId="{9D9677F7-500C-4B99-B6A4-E81DA0958492}" type="pres">
      <dgm:prSet presAssocID="{E52A3626-C1D9-4775-82A7-31739488E290}" presName="rootText" presStyleLbl="node2" presStyleIdx="1" presStyleCnt="2">
        <dgm:presLayoutVars>
          <dgm:chPref val="3"/>
        </dgm:presLayoutVars>
      </dgm:prSet>
      <dgm:spPr/>
    </dgm:pt>
    <dgm:pt modelId="{0FCC01BD-F689-49B1-8AC0-6D7D4D13A042}" type="pres">
      <dgm:prSet presAssocID="{E52A3626-C1D9-4775-82A7-31739488E290}" presName="rootConnector" presStyleLbl="node2" presStyleIdx="1" presStyleCnt="2"/>
      <dgm:spPr/>
    </dgm:pt>
    <dgm:pt modelId="{F3F6D6D4-1F15-4537-9BE0-FF838E70F2CE}" type="pres">
      <dgm:prSet presAssocID="{E52A3626-C1D9-4775-82A7-31739488E290}" presName="hierChild4" presStyleCnt="0"/>
      <dgm:spPr/>
    </dgm:pt>
    <dgm:pt modelId="{9A31023F-3FB0-414E-92D5-5136C277DD3C}" type="pres">
      <dgm:prSet presAssocID="{E52A3626-C1D9-4775-82A7-31739488E290}" presName="hierChild5" presStyleCnt="0"/>
      <dgm:spPr/>
    </dgm:pt>
    <dgm:pt modelId="{3F2FD70B-5036-4388-B67E-59AE58DEC801}" type="pres">
      <dgm:prSet presAssocID="{1381E1CF-F775-4651-A33C-2BAAE2F4D8B4}" presName="hierChild3" presStyleCnt="0"/>
      <dgm:spPr/>
    </dgm:pt>
  </dgm:ptLst>
  <dgm:cxnLst>
    <dgm:cxn modelId="{C8B69D05-4F8A-4AEB-BBD4-38D4CFC4C38F}" type="presOf" srcId="{FAA11379-508C-47B5-A926-55BD147FCDCC}" destId="{FD449FD0-0874-4142-AA7E-0F3D1986DFBA}" srcOrd="1" destOrd="0" presId="urn:microsoft.com/office/officeart/2005/8/layout/orgChart1"/>
    <dgm:cxn modelId="{FBF41D1B-1B49-4E72-A915-675F2AD5B42D}" type="presOf" srcId="{1381E1CF-F775-4651-A33C-2BAAE2F4D8B4}" destId="{EB72F3BC-7877-4030-8C0D-67D4D7C4ABDD}" srcOrd="0" destOrd="0" presId="urn:microsoft.com/office/officeart/2005/8/layout/orgChart1"/>
    <dgm:cxn modelId="{E2C9612B-52ED-4A71-A267-80F9A339355D}" type="presOf" srcId="{0075CBD7-1DAF-427A-B16A-39E8833D26DB}" destId="{1E04B5E6-09CD-4F7F-A4D7-DF51AFE5D1A6}" srcOrd="0" destOrd="0" presId="urn:microsoft.com/office/officeart/2005/8/layout/orgChart1"/>
    <dgm:cxn modelId="{F49DFC68-41E8-4358-AAC0-4B926E8BFCED}" type="presOf" srcId="{E52A3626-C1D9-4775-82A7-31739488E290}" destId="{9D9677F7-500C-4B99-B6A4-E81DA0958492}" srcOrd="0" destOrd="0" presId="urn:microsoft.com/office/officeart/2005/8/layout/orgChart1"/>
    <dgm:cxn modelId="{04E81670-DA6A-487C-A2B0-34891318F078}" srcId="{0017DF72-0223-4402-A045-1D7C1EE29197}" destId="{1381E1CF-F775-4651-A33C-2BAAE2F4D8B4}" srcOrd="0" destOrd="0" parTransId="{AE5A7D4A-D963-40D5-80F1-3F8A52D6AEA2}" sibTransId="{386F5C2E-2E4B-434F-BF70-4FDEC8697868}"/>
    <dgm:cxn modelId="{5AD0D451-BB8D-4649-A446-8C6A8A719760}" type="presOf" srcId="{91C5CF23-5999-4376-B758-24887C55B882}" destId="{3B1A5272-F347-4D60-BFA8-F429C1FFF403}" srcOrd="0" destOrd="0" presId="urn:microsoft.com/office/officeart/2005/8/layout/orgChart1"/>
    <dgm:cxn modelId="{BDBDD557-4FA0-43C3-B230-3272F55FFE05}" srcId="{1381E1CF-F775-4651-A33C-2BAAE2F4D8B4}" destId="{E52A3626-C1D9-4775-82A7-31739488E290}" srcOrd="1" destOrd="0" parTransId="{91C5CF23-5999-4376-B758-24887C55B882}" sibTransId="{F5779DE9-E7C4-48F9-83F2-27549D9C3D55}"/>
    <dgm:cxn modelId="{CFE695BF-D737-4902-8609-BA0DC239EE5B}" type="presOf" srcId="{0017DF72-0223-4402-A045-1D7C1EE29197}" destId="{128C200B-D84C-4B73-A66A-6A3E77A617A7}" srcOrd="0" destOrd="0" presId="urn:microsoft.com/office/officeart/2005/8/layout/orgChart1"/>
    <dgm:cxn modelId="{00962FD1-C988-4AD5-80FB-ADAC2B25E19D}" type="presOf" srcId="{E52A3626-C1D9-4775-82A7-31739488E290}" destId="{0FCC01BD-F689-49B1-8AC0-6D7D4D13A042}" srcOrd="1" destOrd="0" presId="urn:microsoft.com/office/officeart/2005/8/layout/orgChart1"/>
    <dgm:cxn modelId="{39D7EEE1-8849-483B-8446-4609C5BC1053}" type="presOf" srcId="{FAA11379-508C-47B5-A926-55BD147FCDCC}" destId="{1A765FF0-B91C-427A-B3E2-2C215441FC52}" srcOrd="0" destOrd="0" presId="urn:microsoft.com/office/officeart/2005/8/layout/orgChart1"/>
    <dgm:cxn modelId="{07E3DEE5-C689-476C-B603-5E663A3E51A3}" type="presOf" srcId="{1381E1CF-F775-4651-A33C-2BAAE2F4D8B4}" destId="{784ED30C-3CA7-4971-9FE9-4ABE002E1EE1}" srcOrd="1" destOrd="0" presId="urn:microsoft.com/office/officeart/2005/8/layout/orgChart1"/>
    <dgm:cxn modelId="{75982BFB-41FA-4BE4-BF4E-B007F6B3CE38}" srcId="{1381E1CF-F775-4651-A33C-2BAAE2F4D8B4}" destId="{FAA11379-508C-47B5-A926-55BD147FCDCC}" srcOrd="0" destOrd="0" parTransId="{0075CBD7-1DAF-427A-B16A-39E8833D26DB}" sibTransId="{19A69F21-FA7B-4244-8696-782D430443A0}"/>
    <dgm:cxn modelId="{BFB4B685-F96C-4351-9CC0-48E26A6FB27C}" type="presParOf" srcId="{128C200B-D84C-4B73-A66A-6A3E77A617A7}" destId="{09BE03DF-4198-496A-B9E5-26F5DA57EB87}" srcOrd="0" destOrd="0" presId="urn:microsoft.com/office/officeart/2005/8/layout/orgChart1"/>
    <dgm:cxn modelId="{D1542F84-69AD-4E83-B7F8-50EC879A084E}" type="presParOf" srcId="{09BE03DF-4198-496A-B9E5-26F5DA57EB87}" destId="{930D634E-E6FA-4A15-A2F3-9B74FA061A4D}" srcOrd="0" destOrd="0" presId="urn:microsoft.com/office/officeart/2005/8/layout/orgChart1"/>
    <dgm:cxn modelId="{253659E5-4180-4CE4-95D4-7B2B9179EEDF}" type="presParOf" srcId="{930D634E-E6FA-4A15-A2F3-9B74FA061A4D}" destId="{EB72F3BC-7877-4030-8C0D-67D4D7C4ABDD}" srcOrd="0" destOrd="0" presId="urn:microsoft.com/office/officeart/2005/8/layout/orgChart1"/>
    <dgm:cxn modelId="{DD5969D8-41B6-4030-B4D1-B6692E284801}" type="presParOf" srcId="{930D634E-E6FA-4A15-A2F3-9B74FA061A4D}" destId="{784ED30C-3CA7-4971-9FE9-4ABE002E1EE1}" srcOrd="1" destOrd="0" presId="urn:microsoft.com/office/officeart/2005/8/layout/orgChart1"/>
    <dgm:cxn modelId="{EDAEDCF7-2691-415B-87F4-D5B345993B24}" type="presParOf" srcId="{09BE03DF-4198-496A-B9E5-26F5DA57EB87}" destId="{A98B48F6-68C5-45AB-A4EE-CB23A7A6E630}" srcOrd="1" destOrd="0" presId="urn:microsoft.com/office/officeart/2005/8/layout/orgChart1"/>
    <dgm:cxn modelId="{F981168B-4777-49F5-89A8-BBD35E6D1EFC}" type="presParOf" srcId="{A98B48F6-68C5-45AB-A4EE-CB23A7A6E630}" destId="{1E04B5E6-09CD-4F7F-A4D7-DF51AFE5D1A6}" srcOrd="0" destOrd="0" presId="urn:microsoft.com/office/officeart/2005/8/layout/orgChart1"/>
    <dgm:cxn modelId="{D2D6AA26-F9DC-4BC3-A1FD-7B90B3B1E49E}" type="presParOf" srcId="{A98B48F6-68C5-45AB-A4EE-CB23A7A6E630}" destId="{4D7C373D-4837-4B88-90E3-84A04693FCD2}" srcOrd="1" destOrd="0" presId="urn:microsoft.com/office/officeart/2005/8/layout/orgChart1"/>
    <dgm:cxn modelId="{94E48534-A1C0-4AE3-82D0-B65B4C868AF9}" type="presParOf" srcId="{4D7C373D-4837-4B88-90E3-84A04693FCD2}" destId="{D919D4AE-2078-420F-BB70-D37796649A1D}" srcOrd="0" destOrd="0" presId="urn:microsoft.com/office/officeart/2005/8/layout/orgChart1"/>
    <dgm:cxn modelId="{BAEAF360-1D0E-4EA6-952A-42CB3CBA6ECD}" type="presParOf" srcId="{D919D4AE-2078-420F-BB70-D37796649A1D}" destId="{1A765FF0-B91C-427A-B3E2-2C215441FC52}" srcOrd="0" destOrd="0" presId="urn:microsoft.com/office/officeart/2005/8/layout/orgChart1"/>
    <dgm:cxn modelId="{6271580B-1B9F-4791-B9B1-B29ADF10C88E}" type="presParOf" srcId="{D919D4AE-2078-420F-BB70-D37796649A1D}" destId="{FD449FD0-0874-4142-AA7E-0F3D1986DFBA}" srcOrd="1" destOrd="0" presId="urn:microsoft.com/office/officeart/2005/8/layout/orgChart1"/>
    <dgm:cxn modelId="{5EB4E4F3-E92F-42DD-9F09-88B8C351D0B1}" type="presParOf" srcId="{4D7C373D-4837-4B88-90E3-84A04693FCD2}" destId="{29A58E52-CF0A-4934-AE25-C3BCB88B6A8C}" srcOrd="1" destOrd="0" presId="urn:microsoft.com/office/officeart/2005/8/layout/orgChart1"/>
    <dgm:cxn modelId="{8755F327-7D7B-414B-BC89-12F283CBA3FF}" type="presParOf" srcId="{4D7C373D-4837-4B88-90E3-84A04693FCD2}" destId="{E577C7F3-1E67-4D68-BA25-ECC50BC75777}" srcOrd="2" destOrd="0" presId="urn:microsoft.com/office/officeart/2005/8/layout/orgChart1"/>
    <dgm:cxn modelId="{82A3580A-852C-4086-A102-F44FB1389BB8}" type="presParOf" srcId="{A98B48F6-68C5-45AB-A4EE-CB23A7A6E630}" destId="{3B1A5272-F347-4D60-BFA8-F429C1FFF403}" srcOrd="2" destOrd="0" presId="urn:microsoft.com/office/officeart/2005/8/layout/orgChart1"/>
    <dgm:cxn modelId="{8CCC1D05-0E23-4CD7-8AFB-F2DA74859A74}" type="presParOf" srcId="{A98B48F6-68C5-45AB-A4EE-CB23A7A6E630}" destId="{C8645281-F0A2-4E58-A956-6B06481CF73D}" srcOrd="3" destOrd="0" presId="urn:microsoft.com/office/officeart/2005/8/layout/orgChart1"/>
    <dgm:cxn modelId="{32B9A890-83EA-4DB4-BA58-332F15C36760}" type="presParOf" srcId="{C8645281-F0A2-4E58-A956-6B06481CF73D}" destId="{1FC8D84E-EEE8-4E09-AC5A-F97EE6D6A07F}" srcOrd="0" destOrd="0" presId="urn:microsoft.com/office/officeart/2005/8/layout/orgChart1"/>
    <dgm:cxn modelId="{94D09F5D-111E-4A5F-AFC2-33E401E6B20B}" type="presParOf" srcId="{1FC8D84E-EEE8-4E09-AC5A-F97EE6D6A07F}" destId="{9D9677F7-500C-4B99-B6A4-E81DA0958492}" srcOrd="0" destOrd="0" presId="urn:microsoft.com/office/officeart/2005/8/layout/orgChart1"/>
    <dgm:cxn modelId="{02A015AE-F900-4FEB-B6F4-5FA99B87A862}" type="presParOf" srcId="{1FC8D84E-EEE8-4E09-AC5A-F97EE6D6A07F}" destId="{0FCC01BD-F689-49B1-8AC0-6D7D4D13A042}" srcOrd="1" destOrd="0" presId="urn:microsoft.com/office/officeart/2005/8/layout/orgChart1"/>
    <dgm:cxn modelId="{639ED6C4-47D9-4491-82B7-37F11C545C7F}" type="presParOf" srcId="{C8645281-F0A2-4E58-A956-6B06481CF73D}" destId="{F3F6D6D4-1F15-4537-9BE0-FF838E70F2CE}" srcOrd="1" destOrd="0" presId="urn:microsoft.com/office/officeart/2005/8/layout/orgChart1"/>
    <dgm:cxn modelId="{A364CE25-6E0D-41C5-8D6E-ED36AEB8C657}" type="presParOf" srcId="{C8645281-F0A2-4E58-A956-6B06481CF73D}" destId="{9A31023F-3FB0-414E-92D5-5136C277DD3C}" srcOrd="2" destOrd="0" presId="urn:microsoft.com/office/officeart/2005/8/layout/orgChart1"/>
    <dgm:cxn modelId="{783C5BFD-18EE-499E-B5BF-D2D779DDA457}" type="presParOf" srcId="{09BE03DF-4198-496A-B9E5-26F5DA57EB87}" destId="{3F2FD70B-5036-4388-B67E-59AE58DEC801}"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A5272-F347-4D60-BFA8-F429C1FFF403}">
      <dsp:nvSpPr>
        <dsp:cNvPr id="0" name=""/>
        <dsp:cNvSpPr/>
      </dsp:nvSpPr>
      <dsp:spPr>
        <a:xfrm>
          <a:off x="2229790" y="754924"/>
          <a:ext cx="936665" cy="318009"/>
        </a:xfrm>
        <a:custGeom>
          <a:avLst/>
          <a:gdLst/>
          <a:ahLst/>
          <a:cxnLst/>
          <a:rect l="0" t="0" r="0" b="0"/>
          <a:pathLst>
            <a:path>
              <a:moveTo>
                <a:pt x="936665" y="0"/>
              </a:moveTo>
              <a:lnTo>
                <a:pt x="936665" y="159475"/>
              </a:lnTo>
              <a:lnTo>
                <a:pt x="0" y="159475"/>
              </a:lnTo>
              <a:lnTo>
                <a:pt x="0" y="3180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04B5E6-09CD-4F7F-A4D7-DF51AFE5D1A6}">
      <dsp:nvSpPr>
        <dsp:cNvPr id="0" name=""/>
        <dsp:cNvSpPr/>
      </dsp:nvSpPr>
      <dsp:spPr>
        <a:xfrm>
          <a:off x="3166456" y="754924"/>
          <a:ext cx="890252" cy="318009"/>
        </a:xfrm>
        <a:custGeom>
          <a:avLst/>
          <a:gdLst/>
          <a:ahLst/>
          <a:cxnLst/>
          <a:rect l="0" t="0" r="0" b="0"/>
          <a:pathLst>
            <a:path>
              <a:moveTo>
                <a:pt x="0" y="0"/>
              </a:moveTo>
              <a:lnTo>
                <a:pt x="0" y="159475"/>
              </a:lnTo>
              <a:lnTo>
                <a:pt x="890252" y="159475"/>
              </a:lnTo>
              <a:lnTo>
                <a:pt x="890252" y="3180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72F3BC-7877-4030-8C0D-67D4D7C4ABDD}">
      <dsp:nvSpPr>
        <dsp:cNvPr id="0" name=""/>
        <dsp:cNvSpPr/>
      </dsp:nvSpPr>
      <dsp:spPr>
        <a:xfrm>
          <a:off x="2411531" y="0"/>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endParaRPr lang="en-GB" sz="1700" b="0" i="0" u="none" strike="noStrike" kern="1200" baseline="0">
            <a:latin typeface="Times New Roman"/>
          </a:endParaRPr>
        </a:p>
        <a:p>
          <a:pPr marL="0" marR="0" lvl="0" indent="0" algn="ctr" defTabSz="755650" rtl="0">
            <a:lnSpc>
              <a:spcPct val="90000"/>
            </a:lnSpc>
            <a:spcBef>
              <a:spcPct val="0"/>
            </a:spcBef>
            <a:spcAft>
              <a:spcPct val="35000"/>
            </a:spcAft>
            <a:buNone/>
          </a:pPr>
          <a:r>
            <a:rPr lang="en-GB" sz="1700" b="0" i="1" u="none" strike="noStrike" kern="1200" baseline="0">
              <a:latin typeface="Calibri"/>
            </a:rPr>
            <a:t>Finance Director</a:t>
          </a:r>
          <a:endParaRPr lang="en-GB" sz="1700" i="1" kern="1200"/>
        </a:p>
      </dsp:txBody>
      <dsp:txXfrm>
        <a:off x="2411531" y="0"/>
        <a:ext cx="1509849" cy="754924"/>
      </dsp:txXfrm>
    </dsp:sp>
    <dsp:sp modelId="{1A765FF0-B91C-427A-B3E2-2C215441FC52}">
      <dsp:nvSpPr>
        <dsp:cNvPr id="0" name=""/>
        <dsp:cNvSpPr/>
      </dsp:nvSpPr>
      <dsp:spPr>
        <a:xfrm>
          <a:off x="3301784" y="1072934"/>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kern="1200"/>
            <a:t>SPV General Manager</a:t>
          </a:r>
        </a:p>
      </dsp:txBody>
      <dsp:txXfrm>
        <a:off x="3301784" y="1072934"/>
        <a:ext cx="1509849" cy="754924"/>
      </dsp:txXfrm>
    </dsp:sp>
    <dsp:sp modelId="{9D9677F7-500C-4B99-B6A4-E81DA0958492}">
      <dsp:nvSpPr>
        <dsp:cNvPr id="0" name=""/>
        <dsp:cNvSpPr/>
      </dsp:nvSpPr>
      <dsp:spPr>
        <a:xfrm>
          <a:off x="1474866" y="1072934"/>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kern="1200"/>
            <a:t>Commercial Finance Managers (x5)</a:t>
          </a:r>
        </a:p>
      </dsp:txBody>
      <dsp:txXfrm>
        <a:off x="1474866" y="1072934"/>
        <a:ext cx="1509849" cy="754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792</Words>
  <Characters>4516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Seaton, Joanne</cp:lastModifiedBy>
  <cp:revision>34</cp:revision>
  <cp:lastPrinted>2016-06-20T09:08:00Z</cp:lastPrinted>
  <dcterms:created xsi:type="dcterms:W3CDTF">2024-09-16T12:48:00Z</dcterms:created>
  <dcterms:modified xsi:type="dcterms:W3CDTF">2024-09-16T13:56:00Z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