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2C9A794" w:rsidR="00685BE2" w:rsidRPr="00707D60" w:rsidRDefault="008F111E" w:rsidP="009A36F7">
                            <w:pPr>
                              <w:jc w:val="left"/>
                              <w:rPr>
                                <w:b/>
                                <w:bCs/>
                                <w:color w:val="FFFFFF" w:themeColor="background1"/>
                                <w:sz w:val="40"/>
                                <w:szCs w:val="40"/>
                                <w:lang w:val="en-AU"/>
                              </w:rPr>
                            </w:pPr>
                            <w:r>
                              <w:rPr>
                                <w:b/>
                                <w:bCs/>
                                <w:color w:val="FFFFFF" w:themeColor="background1"/>
                                <w:sz w:val="44"/>
                                <w:szCs w:val="44"/>
                                <w:lang w:val="en-AU"/>
                              </w:rPr>
                              <w:t xml:space="preserve">Regional </w:t>
                            </w:r>
                            <w:r w:rsidR="00734B88">
                              <w:rPr>
                                <w:b/>
                                <w:bCs/>
                                <w:color w:val="FFFFFF" w:themeColor="background1"/>
                                <w:sz w:val="44"/>
                                <w:szCs w:val="44"/>
                                <w:lang w:val="en-AU"/>
                              </w:rPr>
                              <w:t>Safeguarding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2C9A794" w:rsidR="00685BE2" w:rsidRPr="00707D60" w:rsidRDefault="008F111E" w:rsidP="009A36F7">
                      <w:pPr>
                        <w:jc w:val="left"/>
                        <w:rPr>
                          <w:b/>
                          <w:bCs/>
                          <w:color w:val="FFFFFF" w:themeColor="background1"/>
                          <w:sz w:val="40"/>
                          <w:szCs w:val="40"/>
                          <w:lang w:val="en-AU"/>
                        </w:rPr>
                      </w:pPr>
                      <w:r>
                        <w:rPr>
                          <w:b/>
                          <w:bCs/>
                          <w:color w:val="FFFFFF" w:themeColor="background1"/>
                          <w:sz w:val="44"/>
                          <w:szCs w:val="44"/>
                          <w:lang w:val="en-AU"/>
                        </w:rPr>
                        <w:t xml:space="preserve">Regional </w:t>
                      </w:r>
                      <w:r w:rsidR="00734B88">
                        <w:rPr>
                          <w:b/>
                          <w:bCs/>
                          <w:color w:val="FFFFFF" w:themeColor="background1"/>
                          <w:sz w:val="44"/>
                          <w:szCs w:val="44"/>
                          <w:lang w:val="en-AU"/>
                        </w:rPr>
                        <w:t>Safeguarding Lead</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D63B2"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9A2A173" w:rsidR="00800A60" w:rsidRPr="00A824A9" w:rsidRDefault="00515F23" w:rsidP="00800A60">
            <w:pPr>
              <w:spacing w:before="20" w:after="20"/>
              <w:jc w:val="left"/>
              <w:rPr>
                <w:rFonts w:cs="Arial"/>
                <w:color w:val="000000" w:themeColor="text1"/>
                <w:szCs w:val="20"/>
              </w:rPr>
            </w:pPr>
            <w:r>
              <w:rPr>
                <w:rFonts w:cs="Arial"/>
                <w:color w:val="000000" w:themeColor="text1"/>
                <w:szCs w:val="20"/>
              </w:rPr>
              <w:t xml:space="preserve">Central </w:t>
            </w:r>
            <w:r w:rsidR="009F4120">
              <w:rPr>
                <w:rFonts w:cs="Arial"/>
                <w:color w:val="000000" w:themeColor="text1"/>
                <w:szCs w:val="20"/>
              </w:rPr>
              <w:t>HR</w:t>
            </w:r>
            <w:r>
              <w:rPr>
                <w:rFonts w:cs="Arial"/>
                <w:color w:val="000000" w:themeColor="text1"/>
                <w:szCs w:val="20"/>
              </w:rPr>
              <w:t xml:space="preserve"> [Labour Relations]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773549C" w:rsidR="00800A60" w:rsidRPr="00A824A9" w:rsidRDefault="00DD2418" w:rsidP="00800A60">
            <w:pPr>
              <w:spacing w:before="20" w:after="20"/>
              <w:jc w:val="left"/>
              <w:rPr>
                <w:rFonts w:cs="Arial"/>
                <w:color w:val="000000" w:themeColor="text1"/>
                <w:szCs w:val="20"/>
                <w:lang w:val="en-GB"/>
              </w:rPr>
            </w:pPr>
            <w:r>
              <w:rPr>
                <w:rFonts w:cs="Arial"/>
                <w:color w:val="000000" w:themeColor="text1"/>
                <w:szCs w:val="20"/>
                <w:lang w:val="en-GB"/>
              </w:rPr>
              <w:t xml:space="preserve">Regional </w:t>
            </w:r>
            <w:r w:rsidR="009F4120" w:rsidRPr="009F4120">
              <w:rPr>
                <w:rFonts w:cs="Arial"/>
                <w:color w:val="000000" w:themeColor="text1"/>
                <w:szCs w:val="20"/>
                <w:lang w:val="en-GB"/>
              </w:rPr>
              <w:t>Safeguarding Lead</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117230F" w:rsidR="00800A60" w:rsidRPr="00A824A9" w:rsidRDefault="009F4120" w:rsidP="00800A60">
            <w:pPr>
              <w:spacing w:before="20" w:after="20"/>
              <w:jc w:val="left"/>
              <w:rPr>
                <w:rFonts w:cs="Arial"/>
                <w:color w:val="000000" w:themeColor="text1"/>
                <w:szCs w:val="20"/>
              </w:rPr>
            </w:pPr>
            <w:r>
              <w:rPr>
                <w:rFonts w:cs="Arial"/>
                <w:color w:val="000000" w:themeColor="text1"/>
                <w:szCs w:val="20"/>
              </w:rPr>
              <w:t>XXXXX</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23A51A5" w:rsidR="00800A60" w:rsidRPr="00A824A9" w:rsidRDefault="009F4120" w:rsidP="00800A60">
            <w:pPr>
              <w:spacing w:before="20" w:after="20"/>
              <w:jc w:val="left"/>
              <w:rPr>
                <w:rFonts w:cs="Arial"/>
                <w:color w:val="000000" w:themeColor="text1"/>
                <w:szCs w:val="20"/>
              </w:rPr>
            </w:pPr>
            <w:r>
              <w:rPr>
                <w:rFonts w:cs="Arial"/>
                <w:color w:val="000000" w:themeColor="text1"/>
                <w:szCs w:val="20"/>
              </w:rPr>
              <w:t>XXXXXX</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CE6169C" w:rsidR="00800A60" w:rsidRDefault="0052281A" w:rsidP="00800A60">
            <w:pPr>
              <w:spacing w:before="20" w:after="20"/>
              <w:jc w:val="left"/>
              <w:rPr>
                <w:rFonts w:cs="Arial"/>
                <w:color w:val="000000" w:themeColor="text1"/>
                <w:szCs w:val="20"/>
              </w:rPr>
            </w:pPr>
            <w:proofErr w:type="spellStart"/>
            <w:r>
              <w:rPr>
                <w:rFonts w:cs="Arial"/>
                <w:color w:val="000000" w:themeColor="text1"/>
                <w:szCs w:val="20"/>
              </w:rPr>
              <w:t>Labour</w:t>
            </w:r>
            <w:proofErr w:type="spellEnd"/>
            <w:r>
              <w:rPr>
                <w:rFonts w:cs="Arial"/>
                <w:color w:val="000000" w:themeColor="text1"/>
                <w:szCs w:val="20"/>
              </w:rPr>
              <w:t xml:space="preserve"> Relations &amp; Policy Director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97CC937" w:rsidR="00800A60" w:rsidRDefault="00734B88" w:rsidP="00800A60">
            <w:pPr>
              <w:spacing w:before="20" w:after="20"/>
              <w:jc w:val="left"/>
              <w:rPr>
                <w:rFonts w:cs="Arial"/>
                <w:color w:val="000000" w:themeColor="text1"/>
                <w:szCs w:val="20"/>
              </w:rPr>
            </w:pPr>
            <w:r>
              <w:rPr>
                <w:rFonts w:cs="Arial"/>
                <w:color w:val="000000" w:themeColor="text1"/>
                <w:szCs w:val="20"/>
              </w:rPr>
              <w:t>Salford/Hybrid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A73E6E0" w14:textId="43CA5371" w:rsidR="00104F30" w:rsidRDefault="007A5865" w:rsidP="007A5865">
            <w:pPr>
              <w:jc w:val="left"/>
              <w:rPr>
                <w:rFonts w:cs="Arial"/>
                <w:color w:val="000000" w:themeColor="text1"/>
                <w:szCs w:val="20"/>
              </w:rPr>
            </w:pPr>
            <w:bookmarkStart w:id="0" w:name="_Hlk218515143"/>
            <w:r>
              <w:rPr>
                <w:rFonts w:cs="Arial"/>
                <w:color w:val="000000" w:themeColor="text1"/>
                <w:szCs w:val="20"/>
              </w:rPr>
              <w:t xml:space="preserve">The purpose of the </w:t>
            </w:r>
            <w:r w:rsidRPr="007A5865">
              <w:rPr>
                <w:rFonts w:cs="Arial"/>
                <w:color w:val="000000" w:themeColor="text1"/>
                <w:szCs w:val="20"/>
              </w:rPr>
              <w:t xml:space="preserve">Safeguarding Lead </w:t>
            </w:r>
            <w:r>
              <w:rPr>
                <w:rFonts w:cs="Arial"/>
                <w:color w:val="000000" w:themeColor="text1"/>
                <w:szCs w:val="20"/>
              </w:rPr>
              <w:t xml:space="preserve">is </w:t>
            </w:r>
            <w:r w:rsidRPr="007A5865">
              <w:rPr>
                <w:rFonts w:cs="Arial"/>
                <w:color w:val="000000" w:themeColor="text1"/>
                <w:szCs w:val="20"/>
              </w:rPr>
              <w:t xml:space="preserve">to champion a safe, respectful, and inclusive working environment across </w:t>
            </w:r>
            <w:r w:rsidR="005B26A3">
              <w:rPr>
                <w:rFonts w:cs="Arial"/>
                <w:color w:val="000000" w:themeColor="text1"/>
                <w:szCs w:val="20"/>
              </w:rPr>
              <w:t>Sodexo UK&amp;I</w:t>
            </w:r>
            <w:r w:rsidRPr="007A5865">
              <w:rPr>
                <w:rFonts w:cs="Arial"/>
                <w:color w:val="000000" w:themeColor="text1"/>
                <w:szCs w:val="20"/>
              </w:rPr>
              <w:t xml:space="preserve">. This pivotal role will oversee </w:t>
            </w:r>
            <w:r w:rsidR="009F4120">
              <w:rPr>
                <w:rFonts w:cs="Arial"/>
                <w:color w:val="000000" w:themeColor="text1"/>
                <w:szCs w:val="20"/>
              </w:rPr>
              <w:t xml:space="preserve">statutory </w:t>
            </w:r>
            <w:r w:rsidRPr="007A5865">
              <w:rPr>
                <w:rFonts w:cs="Arial"/>
                <w:color w:val="000000" w:themeColor="text1"/>
                <w:szCs w:val="20"/>
              </w:rPr>
              <w:t xml:space="preserve">safeguarding </w:t>
            </w:r>
            <w:r w:rsidR="00BE08F1" w:rsidRPr="007A5865">
              <w:rPr>
                <w:rFonts w:cs="Arial"/>
                <w:color w:val="000000" w:themeColor="text1"/>
                <w:szCs w:val="20"/>
              </w:rPr>
              <w:t>practices and</w:t>
            </w:r>
            <w:r w:rsidR="009F4120">
              <w:rPr>
                <w:rFonts w:cs="Arial"/>
                <w:color w:val="000000" w:themeColor="text1"/>
                <w:szCs w:val="20"/>
              </w:rPr>
              <w:t xml:space="preserve"> </w:t>
            </w:r>
            <w:r w:rsidRPr="007A5865">
              <w:rPr>
                <w:rFonts w:cs="Arial"/>
                <w:color w:val="000000" w:themeColor="text1"/>
                <w:szCs w:val="20"/>
              </w:rPr>
              <w:t>lead on</w:t>
            </w:r>
            <w:r w:rsidR="009F4120">
              <w:rPr>
                <w:rFonts w:cs="Arial"/>
                <w:color w:val="000000" w:themeColor="text1"/>
                <w:szCs w:val="20"/>
              </w:rPr>
              <w:t xml:space="preserve"> areas such </w:t>
            </w:r>
            <w:r w:rsidR="00515F23">
              <w:rPr>
                <w:rFonts w:cs="Arial"/>
                <w:color w:val="000000" w:themeColor="text1"/>
                <w:szCs w:val="20"/>
              </w:rPr>
              <w:t>a</w:t>
            </w:r>
            <w:r w:rsidR="00DD2418">
              <w:rPr>
                <w:rFonts w:cs="Arial"/>
                <w:color w:val="000000" w:themeColor="text1"/>
                <w:szCs w:val="20"/>
              </w:rPr>
              <w:t xml:space="preserve">s but not limited </w:t>
            </w:r>
            <w:r w:rsidR="006B4CCA">
              <w:rPr>
                <w:rFonts w:cs="Arial"/>
                <w:color w:val="000000" w:themeColor="text1"/>
                <w:szCs w:val="20"/>
              </w:rPr>
              <w:t>to Child</w:t>
            </w:r>
            <w:r w:rsidR="00DD2418" w:rsidRPr="00DD2418">
              <w:rPr>
                <w:rFonts w:cs="Arial"/>
                <w:color w:val="000000" w:themeColor="text1"/>
                <w:szCs w:val="20"/>
              </w:rPr>
              <w:t xml:space="preserve"> Protection &amp; Vulnerable Adults, </w:t>
            </w:r>
            <w:r w:rsidR="003B31DD">
              <w:rPr>
                <w:rFonts w:cs="Arial"/>
                <w:color w:val="000000" w:themeColor="text1"/>
                <w:szCs w:val="20"/>
              </w:rPr>
              <w:t xml:space="preserve">Sexual Harassment, Domestic </w:t>
            </w:r>
            <w:r w:rsidR="002E5479">
              <w:rPr>
                <w:rFonts w:cs="Arial"/>
                <w:color w:val="000000" w:themeColor="text1"/>
                <w:szCs w:val="20"/>
              </w:rPr>
              <w:t>Violence</w:t>
            </w:r>
            <w:r w:rsidR="003B31DD">
              <w:rPr>
                <w:rFonts w:cs="Arial"/>
                <w:color w:val="000000" w:themeColor="text1"/>
                <w:szCs w:val="20"/>
              </w:rPr>
              <w:t xml:space="preserve">, </w:t>
            </w:r>
            <w:r w:rsidR="00DD2418" w:rsidRPr="00DD2418">
              <w:rPr>
                <w:rFonts w:cs="Arial"/>
                <w:color w:val="000000" w:themeColor="text1"/>
                <w:szCs w:val="20"/>
              </w:rPr>
              <w:t>Online Safety &amp; Digital Safeguarding, Prevent Duty / Counter-Extremism, Mental Health &amp; Wellbeing, Modern Slavery &amp; Exploitation, Safeguarding in Recruitment &amp; Vetting, Incident Management &amp; Case Review</w:t>
            </w:r>
            <w:r w:rsidR="003B31DD">
              <w:rPr>
                <w:rFonts w:cs="Arial"/>
                <w:color w:val="000000" w:themeColor="text1"/>
                <w:szCs w:val="20"/>
              </w:rPr>
              <w:t>.</w:t>
            </w:r>
          </w:p>
          <w:bookmarkEnd w:id="0"/>
          <w:p w14:paraId="00E34AA9" w14:textId="77777777" w:rsidR="00104F30" w:rsidRDefault="00104F30" w:rsidP="007A5865">
            <w:pPr>
              <w:jc w:val="left"/>
              <w:rPr>
                <w:rFonts w:cs="Arial"/>
                <w:color w:val="000000" w:themeColor="text1"/>
                <w:szCs w:val="20"/>
              </w:rPr>
            </w:pPr>
          </w:p>
          <w:p w14:paraId="0D8AF3BF" w14:textId="5B6D0846" w:rsidR="00AF0CE6" w:rsidRDefault="009D31C5" w:rsidP="007A5865">
            <w:pPr>
              <w:jc w:val="left"/>
              <w:rPr>
                <w:rFonts w:cs="Arial"/>
                <w:color w:val="000000" w:themeColor="text1"/>
                <w:szCs w:val="20"/>
              </w:rPr>
            </w:pPr>
            <w:r>
              <w:rPr>
                <w:rFonts w:cs="Arial"/>
                <w:color w:val="000000" w:themeColor="text1"/>
                <w:szCs w:val="20"/>
              </w:rPr>
              <w:t xml:space="preserve">The </w:t>
            </w:r>
            <w:r w:rsidR="005B26A3">
              <w:rPr>
                <w:rFonts w:cs="Arial"/>
                <w:color w:val="000000" w:themeColor="text1"/>
                <w:szCs w:val="20"/>
              </w:rPr>
              <w:t>Safeguarding</w:t>
            </w:r>
            <w:r>
              <w:rPr>
                <w:rFonts w:cs="Arial"/>
                <w:color w:val="000000" w:themeColor="text1"/>
                <w:szCs w:val="20"/>
              </w:rPr>
              <w:t xml:space="preserve"> Lead is a </w:t>
            </w:r>
            <w:r w:rsidR="007A5865" w:rsidRPr="007A5865">
              <w:rPr>
                <w:rFonts w:cs="Arial"/>
                <w:color w:val="000000" w:themeColor="text1"/>
                <w:szCs w:val="20"/>
              </w:rPr>
              <w:t xml:space="preserve">subject matter expert in safeguarding within healthcare, and educational settings, bringing deep knowledge of sector-specific risks, regulatory frameworks, and best practices to inform our commercial safeguarding strategy. </w:t>
            </w:r>
            <w:r>
              <w:rPr>
                <w:rFonts w:cs="Arial"/>
                <w:color w:val="000000" w:themeColor="text1"/>
                <w:szCs w:val="20"/>
              </w:rPr>
              <w:t xml:space="preserve">The role will </w:t>
            </w:r>
            <w:r w:rsidR="005B26A3">
              <w:rPr>
                <w:rFonts w:cs="Arial"/>
                <w:color w:val="000000" w:themeColor="text1"/>
                <w:szCs w:val="20"/>
              </w:rPr>
              <w:t xml:space="preserve">be accountable for ensuring Sodexo </w:t>
            </w:r>
            <w:r w:rsidR="007A5865" w:rsidRPr="007A5865">
              <w:rPr>
                <w:rFonts w:cs="Arial"/>
                <w:color w:val="000000" w:themeColor="text1"/>
                <w:szCs w:val="20"/>
              </w:rPr>
              <w:t xml:space="preserve">meets and exceeds its legislative obligations </w:t>
            </w:r>
            <w:r w:rsidR="00956ADA">
              <w:rPr>
                <w:rFonts w:cs="Arial"/>
                <w:color w:val="000000" w:themeColor="text1"/>
                <w:szCs w:val="20"/>
              </w:rPr>
              <w:t xml:space="preserve">and sets best practice </w:t>
            </w:r>
            <w:r w:rsidR="007A5865" w:rsidRPr="007A5865">
              <w:rPr>
                <w:rFonts w:cs="Arial"/>
                <w:color w:val="000000" w:themeColor="text1"/>
                <w:szCs w:val="20"/>
              </w:rPr>
              <w:t>across all safeguarding domains.</w:t>
            </w:r>
          </w:p>
          <w:p w14:paraId="208EBCF1" w14:textId="77777777" w:rsidR="00104F30" w:rsidRDefault="00104F30" w:rsidP="007A5865">
            <w:pPr>
              <w:jc w:val="left"/>
              <w:rPr>
                <w:rFonts w:cs="Arial"/>
                <w:color w:val="000000" w:themeColor="text1"/>
                <w:szCs w:val="20"/>
              </w:rPr>
            </w:pPr>
          </w:p>
          <w:p w14:paraId="7190517C" w14:textId="77777777" w:rsidR="00104F30" w:rsidRDefault="00104F30" w:rsidP="007A5865">
            <w:pPr>
              <w:jc w:val="left"/>
              <w:rPr>
                <w:rFonts w:cs="Arial"/>
                <w:color w:val="000000" w:themeColor="text1"/>
                <w:szCs w:val="20"/>
              </w:rPr>
            </w:pPr>
          </w:p>
          <w:p w14:paraId="282F3142" w14:textId="0AC6CA59" w:rsidR="00104F30" w:rsidRPr="007A5865" w:rsidRDefault="00104F30" w:rsidP="007A5865">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1"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2A320428" w14:textId="15C431F9" w:rsidR="006E6A9D" w:rsidRDefault="00DD2418" w:rsidP="00DD2418">
            <w:pPr>
              <w:pStyle w:val="ListParagraph"/>
              <w:numPr>
                <w:ilvl w:val="0"/>
                <w:numId w:val="22"/>
              </w:numPr>
              <w:jc w:val="left"/>
              <w:rPr>
                <w:rFonts w:cs="Arial"/>
                <w:color w:val="000000" w:themeColor="text1"/>
                <w:szCs w:val="20"/>
              </w:rPr>
            </w:pPr>
            <w:r w:rsidRPr="00DD2418">
              <w:rPr>
                <w:rFonts w:cs="Arial"/>
                <w:color w:val="000000" w:themeColor="text1"/>
                <w:szCs w:val="20"/>
              </w:rPr>
              <w:t xml:space="preserve">Leads the establishment of a Safeguarding Centre of Excellence within </w:t>
            </w:r>
            <w:proofErr w:type="spellStart"/>
            <w:r w:rsidRPr="00DD2418">
              <w:rPr>
                <w:rFonts w:cs="Arial"/>
                <w:color w:val="000000" w:themeColor="text1"/>
                <w:szCs w:val="20"/>
              </w:rPr>
              <w:t>Labour</w:t>
            </w:r>
            <w:proofErr w:type="spellEnd"/>
            <w:r w:rsidRPr="00DD2418">
              <w:rPr>
                <w:rFonts w:cs="Arial"/>
                <w:color w:val="000000" w:themeColor="text1"/>
                <w:szCs w:val="20"/>
              </w:rPr>
              <w:t xml:space="preserve"> Relations, laying the foundation for long-term strategic safeguarding capability and </w:t>
            </w:r>
            <w:proofErr w:type="spellStart"/>
            <w:r w:rsidRPr="00DD2418">
              <w:rPr>
                <w:rFonts w:cs="Arial"/>
                <w:color w:val="000000" w:themeColor="text1"/>
                <w:szCs w:val="20"/>
              </w:rPr>
              <w:t>organisational</w:t>
            </w:r>
            <w:proofErr w:type="spellEnd"/>
            <w:r w:rsidRPr="00DD2418">
              <w:rPr>
                <w:rFonts w:cs="Arial"/>
                <w:color w:val="000000" w:themeColor="text1"/>
                <w:szCs w:val="20"/>
              </w:rPr>
              <w:t xml:space="preserve"> compliance</w:t>
            </w:r>
          </w:p>
          <w:p w14:paraId="7254CB99" w14:textId="1BF704A6" w:rsidR="00D20064" w:rsidRPr="00D20064" w:rsidRDefault="00D20064" w:rsidP="00D20064">
            <w:pPr>
              <w:pStyle w:val="ListParagraph"/>
              <w:numPr>
                <w:ilvl w:val="0"/>
                <w:numId w:val="22"/>
              </w:numPr>
              <w:jc w:val="left"/>
              <w:rPr>
                <w:rFonts w:cs="Arial"/>
                <w:color w:val="000000" w:themeColor="text1"/>
                <w:szCs w:val="20"/>
              </w:rPr>
            </w:pPr>
            <w:r w:rsidRPr="00D20064">
              <w:rPr>
                <w:rFonts w:cs="Arial"/>
                <w:color w:val="000000" w:themeColor="text1"/>
                <w:szCs w:val="20"/>
              </w:rPr>
              <w:t>Develop and implement safeguarding policies and procedures tailored to a commercial environment</w:t>
            </w:r>
            <w:r w:rsidR="00295672">
              <w:rPr>
                <w:rFonts w:cs="Arial"/>
                <w:color w:val="000000" w:themeColor="text1"/>
                <w:szCs w:val="20"/>
              </w:rPr>
              <w:t xml:space="preserve"> in conjunction with </w:t>
            </w:r>
            <w:r w:rsidR="00B677C9">
              <w:rPr>
                <w:rFonts w:cs="Arial"/>
                <w:color w:val="000000" w:themeColor="text1"/>
                <w:szCs w:val="20"/>
              </w:rPr>
              <w:t xml:space="preserve">specialist </w:t>
            </w:r>
            <w:r w:rsidR="00295672">
              <w:rPr>
                <w:rFonts w:cs="Arial"/>
                <w:color w:val="000000" w:themeColor="text1"/>
                <w:szCs w:val="20"/>
              </w:rPr>
              <w:t>areas such as HR Policy, L&amp;D</w:t>
            </w:r>
            <w:r w:rsidR="00B677C9">
              <w:rPr>
                <w:rFonts w:cs="Arial"/>
                <w:color w:val="000000" w:themeColor="text1"/>
                <w:szCs w:val="20"/>
              </w:rPr>
              <w:t xml:space="preserve">, Culture &amp; Belonging </w:t>
            </w:r>
            <w:r w:rsidR="00295672">
              <w:rPr>
                <w:rFonts w:cs="Arial"/>
                <w:color w:val="000000" w:themeColor="text1"/>
                <w:szCs w:val="20"/>
              </w:rPr>
              <w:t>and Segments.</w:t>
            </w:r>
          </w:p>
          <w:p w14:paraId="3A13A4EB" w14:textId="0CB91228" w:rsidR="00D20064" w:rsidRPr="00D20064" w:rsidRDefault="00D20064" w:rsidP="00D20064">
            <w:pPr>
              <w:pStyle w:val="ListParagraph"/>
              <w:numPr>
                <w:ilvl w:val="0"/>
                <w:numId w:val="22"/>
              </w:numPr>
              <w:jc w:val="left"/>
              <w:rPr>
                <w:rFonts w:cs="Arial"/>
                <w:color w:val="000000" w:themeColor="text1"/>
                <w:szCs w:val="20"/>
              </w:rPr>
            </w:pPr>
            <w:r w:rsidRPr="00D20064">
              <w:rPr>
                <w:rFonts w:cs="Arial"/>
                <w:color w:val="000000" w:themeColor="text1"/>
                <w:szCs w:val="20"/>
              </w:rPr>
              <w:t>Integrate sector-specific safeguarding insights from healthcare, and education into company-wide practices.</w:t>
            </w:r>
          </w:p>
          <w:p w14:paraId="1EAA9A6C" w14:textId="4C6BC396" w:rsidR="00D20064" w:rsidRPr="00D20064" w:rsidRDefault="00504AC7" w:rsidP="00D20064">
            <w:pPr>
              <w:pStyle w:val="ListParagraph"/>
              <w:numPr>
                <w:ilvl w:val="0"/>
                <w:numId w:val="22"/>
              </w:numPr>
              <w:jc w:val="left"/>
              <w:rPr>
                <w:rFonts w:cs="Arial"/>
                <w:color w:val="000000" w:themeColor="text1"/>
                <w:szCs w:val="20"/>
              </w:rPr>
            </w:pPr>
            <w:r>
              <w:rPr>
                <w:rFonts w:cs="Arial"/>
                <w:color w:val="000000" w:themeColor="text1"/>
                <w:szCs w:val="20"/>
              </w:rPr>
              <w:t>Write and l</w:t>
            </w:r>
            <w:r w:rsidR="00D20064" w:rsidRPr="00D20064">
              <w:rPr>
                <w:rFonts w:cs="Arial"/>
                <w:color w:val="000000" w:themeColor="text1"/>
                <w:szCs w:val="20"/>
              </w:rPr>
              <w:t>ead risk assessments and ensure safeguarding measures are embedded across all business functions</w:t>
            </w:r>
            <w:r>
              <w:rPr>
                <w:rFonts w:cs="Arial"/>
                <w:color w:val="000000" w:themeColor="text1"/>
                <w:szCs w:val="20"/>
              </w:rPr>
              <w:t>, setting the bar for best practice.</w:t>
            </w:r>
          </w:p>
          <w:p w14:paraId="11F2ECEA" w14:textId="77777777" w:rsidR="00D20064" w:rsidRPr="00D20064" w:rsidRDefault="00D20064" w:rsidP="00D20064">
            <w:pPr>
              <w:pStyle w:val="ListParagraph"/>
              <w:numPr>
                <w:ilvl w:val="0"/>
                <w:numId w:val="22"/>
              </w:numPr>
              <w:jc w:val="left"/>
              <w:rPr>
                <w:rFonts w:cs="Arial"/>
                <w:color w:val="000000" w:themeColor="text1"/>
                <w:szCs w:val="20"/>
              </w:rPr>
            </w:pPr>
            <w:r w:rsidRPr="00D20064">
              <w:rPr>
                <w:rFonts w:cs="Arial"/>
                <w:color w:val="000000" w:themeColor="text1"/>
                <w:szCs w:val="20"/>
              </w:rPr>
              <w:t>Ensure the company meets and exceeds its legislative obligations relating to safeguarding, harassment, whistleblowing, and employee welfare.</w:t>
            </w:r>
          </w:p>
          <w:p w14:paraId="38FF6A0D" w14:textId="77777777" w:rsidR="001E6947" w:rsidRDefault="001E6947" w:rsidP="00D20064">
            <w:pPr>
              <w:pStyle w:val="ListParagraph"/>
              <w:numPr>
                <w:ilvl w:val="0"/>
                <w:numId w:val="22"/>
              </w:numPr>
              <w:jc w:val="left"/>
              <w:rPr>
                <w:rFonts w:cs="Arial"/>
                <w:color w:val="000000" w:themeColor="text1"/>
                <w:szCs w:val="20"/>
              </w:rPr>
            </w:pPr>
            <w:r w:rsidRPr="001E6947">
              <w:rPr>
                <w:rFonts w:cs="Arial"/>
                <w:color w:val="000000" w:themeColor="text1"/>
                <w:szCs w:val="20"/>
              </w:rPr>
              <w:t xml:space="preserve">Lead on safeguarding strategy, ensuring integration into broader operational plans. </w:t>
            </w:r>
          </w:p>
          <w:p w14:paraId="619B9D95" w14:textId="77777777" w:rsidR="00DD2418" w:rsidRDefault="00DD2418" w:rsidP="00D20064">
            <w:pPr>
              <w:pStyle w:val="ListParagraph"/>
              <w:numPr>
                <w:ilvl w:val="0"/>
                <w:numId w:val="22"/>
              </w:numPr>
              <w:jc w:val="left"/>
              <w:rPr>
                <w:rFonts w:cs="Arial"/>
                <w:color w:val="000000" w:themeColor="text1"/>
                <w:szCs w:val="20"/>
              </w:rPr>
            </w:pPr>
            <w:r w:rsidRPr="00DD2418">
              <w:rPr>
                <w:rFonts w:cs="Arial"/>
                <w:color w:val="000000" w:themeColor="text1"/>
                <w:szCs w:val="20"/>
              </w:rPr>
              <w:t>Demonstrates expert knowledge of safeguarding legislation across the UK and Republic of Ireland, ensuring compliance with jurisdiction-specific frameworks and fostering cross-border policy alignment.</w:t>
            </w:r>
          </w:p>
          <w:p w14:paraId="2F779205" w14:textId="5FA89651" w:rsidR="00D20064" w:rsidRPr="00D20064" w:rsidRDefault="00D20064" w:rsidP="00D20064">
            <w:pPr>
              <w:pStyle w:val="ListParagraph"/>
              <w:numPr>
                <w:ilvl w:val="0"/>
                <w:numId w:val="22"/>
              </w:numPr>
              <w:jc w:val="left"/>
              <w:rPr>
                <w:rFonts w:cs="Arial"/>
                <w:color w:val="000000" w:themeColor="text1"/>
                <w:szCs w:val="20"/>
              </w:rPr>
            </w:pPr>
            <w:r w:rsidRPr="00D20064">
              <w:rPr>
                <w:rFonts w:cs="Arial"/>
                <w:color w:val="000000" w:themeColor="text1"/>
                <w:szCs w:val="20"/>
              </w:rPr>
              <w:t>Act as the safeguarding lead for company support on bids and tenders, providing expert input to meet client safeguarding requirements and demonstrate best practice.</w:t>
            </w:r>
          </w:p>
          <w:p w14:paraId="19298876" w14:textId="77777777" w:rsidR="00D20064" w:rsidRDefault="00D20064" w:rsidP="00D20064">
            <w:pPr>
              <w:pStyle w:val="ListParagraph"/>
              <w:numPr>
                <w:ilvl w:val="0"/>
                <w:numId w:val="22"/>
              </w:numPr>
              <w:jc w:val="left"/>
              <w:rPr>
                <w:rFonts w:cs="Arial"/>
                <w:color w:val="000000" w:themeColor="text1"/>
                <w:szCs w:val="20"/>
              </w:rPr>
            </w:pPr>
            <w:r w:rsidRPr="00D20064">
              <w:rPr>
                <w:rFonts w:cs="Arial"/>
                <w:color w:val="000000" w:themeColor="text1"/>
                <w:szCs w:val="20"/>
              </w:rPr>
              <w:t>Be ready to engage directly with clients and customers to represent the company’s safeguarding approach and respond to external queries or audits.</w:t>
            </w:r>
          </w:p>
          <w:p w14:paraId="09845B21" w14:textId="77777777" w:rsidR="00443F22" w:rsidRPr="00443F22" w:rsidRDefault="00BB3907" w:rsidP="00104F30">
            <w:pPr>
              <w:pStyle w:val="ListParagraph"/>
              <w:numPr>
                <w:ilvl w:val="0"/>
                <w:numId w:val="22"/>
              </w:numPr>
              <w:jc w:val="left"/>
              <w:rPr>
                <w:rFonts w:cs="Arial"/>
                <w:color w:val="000000" w:themeColor="text1"/>
                <w:szCs w:val="20"/>
              </w:rPr>
            </w:pPr>
            <w:r>
              <w:rPr>
                <w:rFonts w:cs="Arial"/>
                <w:color w:val="000000" w:themeColor="text1"/>
                <w:szCs w:val="20"/>
              </w:rPr>
              <w:t xml:space="preserve">Report on compliance, escalate risks to the HRLT, Labour Compliance Forum </w:t>
            </w:r>
            <w:r w:rsidR="006E6A9D">
              <w:rPr>
                <w:rFonts w:cs="Arial"/>
                <w:color w:val="000000" w:themeColor="text1"/>
                <w:szCs w:val="20"/>
              </w:rPr>
              <w:t>alongside</w:t>
            </w:r>
            <w:r>
              <w:rPr>
                <w:rFonts w:cs="Arial"/>
                <w:color w:val="000000" w:themeColor="text1"/>
                <w:szCs w:val="20"/>
              </w:rPr>
              <w:t xml:space="preserve"> recommendations </w:t>
            </w:r>
            <w:r w:rsidR="006E6A9D">
              <w:rPr>
                <w:rFonts w:cs="Arial"/>
                <w:color w:val="000000" w:themeColor="text1"/>
                <w:szCs w:val="20"/>
              </w:rPr>
              <w:t>for mitigation.</w:t>
            </w:r>
            <w:r w:rsidR="00104F30">
              <w:t xml:space="preserve"> </w:t>
            </w:r>
          </w:p>
          <w:p w14:paraId="0AA4D571" w14:textId="078B63E7" w:rsidR="00104F30" w:rsidRPr="00104F30" w:rsidRDefault="00104F30" w:rsidP="00104F30">
            <w:pPr>
              <w:pStyle w:val="ListParagraph"/>
              <w:numPr>
                <w:ilvl w:val="0"/>
                <w:numId w:val="22"/>
              </w:numPr>
              <w:jc w:val="left"/>
              <w:rPr>
                <w:rFonts w:cs="Arial"/>
                <w:color w:val="000000" w:themeColor="text1"/>
                <w:szCs w:val="20"/>
              </w:rPr>
            </w:pPr>
            <w:r w:rsidRPr="00104F30">
              <w:rPr>
                <w:rFonts w:cs="Arial"/>
                <w:color w:val="000000" w:themeColor="text1"/>
                <w:szCs w:val="20"/>
              </w:rPr>
              <w:t>Liaise with external agencies (e.g., local authorities, police, health services) on safeguarding matters.</w:t>
            </w:r>
          </w:p>
          <w:p w14:paraId="6E55B5E5" w14:textId="731F018D" w:rsidR="00BB3907" w:rsidRDefault="00104F30" w:rsidP="00104F30">
            <w:pPr>
              <w:pStyle w:val="ListParagraph"/>
              <w:numPr>
                <w:ilvl w:val="0"/>
                <w:numId w:val="22"/>
              </w:numPr>
              <w:jc w:val="left"/>
              <w:rPr>
                <w:rFonts w:cs="Arial"/>
                <w:color w:val="000000" w:themeColor="text1"/>
                <w:szCs w:val="20"/>
              </w:rPr>
            </w:pPr>
            <w:r w:rsidRPr="00104F30">
              <w:rPr>
                <w:rFonts w:cs="Arial"/>
                <w:color w:val="000000" w:themeColor="text1"/>
                <w:szCs w:val="20"/>
              </w:rPr>
              <w:t xml:space="preserve">Represent </w:t>
            </w:r>
            <w:r w:rsidR="00443F22">
              <w:rPr>
                <w:rFonts w:cs="Arial"/>
                <w:color w:val="000000" w:themeColor="text1"/>
                <w:szCs w:val="20"/>
              </w:rPr>
              <w:t>Sodexo, as appropriate,</w:t>
            </w:r>
            <w:r w:rsidRPr="00104F30">
              <w:rPr>
                <w:rFonts w:cs="Arial"/>
                <w:color w:val="000000" w:themeColor="text1"/>
                <w:szCs w:val="20"/>
              </w:rPr>
              <w:t xml:space="preserve"> in safeguarding forums and networks.</w:t>
            </w:r>
          </w:p>
          <w:p w14:paraId="798875CB" w14:textId="77777777" w:rsidR="00017E8F" w:rsidRPr="00017E8F" w:rsidRDefault="00017E8F" w:rsidP="00017E8F">
            <w:pPr>
              <w:pStyle w:val="ListParagraph"/>
              <w:numPr>
                <w:ilvl w:val="0"/>
                <w:numId w:val="22"/>
              </w:numPr>
              <w:jc w:val="left"/>
              <w:rPr>
                <w:rFonts w:cs="Arial"/>
                <w:color w:val="000000" w:themeColor="text1"/>
                <w:szCs w:val="20"/>
              </w:rPr>
            </w:pPr>
            <w:r w:rsidRPr="00017E8F">
              <w:rPr>
                <w:rFonts w:cs="Arial"/>
                <w:color w:val="000000" w:themeColor="text1"/>
                <w:szCs w:val="20"/>
              </w:rPr>
              <w:t>Develop KPIs and metrics to assess safeguarding performance.</w:t>
            </w:r>
          </w:p>
          <w:p w14:paraId="031BEE9A" w14:textId="77777777" w:rsidR="00017E8F" w:rsidRPr="00017E8F" w:rsidRDefault="00017E8F" w:rsidP="00017E8F">
            <w:pPr>
              <w:pStyle w:val="ListParagraph"/>
              <w:numPr>
                <w:ilvl w:val="0"/>
                <w:numId w:val="22"/>
              </w:numPr>
              <w:jc w:val="left"/>
              <w:rPr>
                <w:rFonts w:cs="Arial"/>
                <w:color w:val="000000" w:themeColor="text1"/>
                <w:szCs w:val="20"/>
              </w:rPr>
            </w:pPr>
            <w:r w:rsidRPr="00017E8F">
              <w:rPr>
                <w:rFonts w:cs="Arial"/>
                <w:color w:val="000000" w:themeColor="text1"/>
                <w:szCs w:val="20"/>
              </w:rPr>
              <w:t>Lead safeguarding audits and reviews.</w:t>
            </w:r>
          </w:p>
          <w:p w14:paraId="2CFA3027" w14:textId="39049088" w:rsidR="00104F30" w:rsidRPr="00D20064" w:rsidRDefault="00017E8F" w:rsidP="00017E8F">
            <w:pPr>
              <w:pStyle w:val="ListParagraph"/>
              <w:numPr>
                <w:ilvl w:val="0"/>
                <w:numId w:val="22"/>
              </w:numPr>
              <w:jc w:val="left"/>
              <w:rPr>
                <w:rFonts w:cs="Arial"/>
                <w:color w:val="000000" w:themeColor="text1"/>
                <w:szCs w:val="20"/>
              </w:rPr>
            </w:pPr>
            <w:r w:rsidRPr="00017E8F">
              <w:rPr>
                <w:rFonts w:cs="Arial"/>
                <w:color w:val="000000" w:themeColor="text1"/>
                <w:szCs w:val="20"/>
              </w:rPr>
              <w:t>Report safeguarding outcomes to senior leadership and external regulators</w:t>
            </w:r>
            <w:r>
              <w:rPr>
                <w:rFonts w:cs="Arial"/>
                <w:color w:val="000000" w:themeColor="text1"/>
                <w:szCs w:val="20"/>
              </w:rPr>
              <w:t>.</w:t>
            </w:r>
          </w:p>
          <w:p w14:paraId="06F4AD77" w14:textId="4CFA4F66" w:rsidR="008260DB" w:rsidRPr="008260DB" w:rsidRDefault="008260DB" w:rsidP="0060007C">
            <w:pPr>
              <w:jc w:val="left"/>
              <w:rPr>
                <w:rFonts w:cs="Arial"/>
                <w:color w:val="000000" w:themeColor="text1"/>
                <w:szCs w:val="20"/>
              </w:rPr>
            </w:pPr>
          </w:p>
        </w:tc>
      </w:tr>
      <w:bookmarkEnd w:id="1"/>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7AB5A5F8" w14:textId="7F297D28" w:rsidR="008260DB" w:rsidRPr="00017E8F" w:rsidRDefault="00504AC7" w:rsidP="00017E8F">
            <w:pPr>
              <w:pStyle w:val="ListParagraph"/>
              <w:numPr>
                <w:ilvl w:val="0"/>
                <w:numId w:val="22"/>
              </w:numPr>
              <w:jc w:val="left"/>
              <w:rPr>
                <w:rFonts w:cs="Arial"/>
                <w:color w:val="000000" w:themeColor="text1"/>
                <w:szCs w:val="20"/>
              </w:rPr>
            </w:pPr>
            <w:r w:rsidRPr="00017E8F">
              <w:rPr>
                <w:rFonts w:cs="Arial"/>
                <w:color w:val="000000" w:themeColor="text1"/>
                <w:szCs w:val="20"/>
              </w:rPr>
              <w:t xml:space="preserve">The external safeguarding landscape is set to become more complex with new areas of legislation </w:t>
            </w:r>
            <w:r w:rsidR="003555B9" w:rsidRPr="00017E8F">
              <w:rPr>
                <w:rFonts w:cs="Arial"/>
                <w:color w:val="000000" w:themeColor="text1"/>
                <w:szCs w:val="20"/>
              </w:rPr>
              <w:t>and expansion of Sodexo’s</w:t>
            </w:r>
            <w:r w:rsidR="00001A31" w:rsidRPr="00017E8F">
              <w:rPr>
                <w:rFonts w:cs="Arial"/>
                <w:color w:val="000000" w:themeColor="text1"/>
                <w:szCs w:val="20"/>
              </w:rPr>
              <w:t xml:space="preserve"> workplace </w:t>
            </w:r>
            <w:r w:rsidR="003555B9" w:rsidRPr="00017E8F">
              <w:rPr>
                <w:rFonts w:cs="Arial"/>
                <w:color w:val="000000" w:themeColor="text1"/>
                <w:szCs w:val="20"/>
              </w:rPr>
              <w:t>duties</w:t>
            </w:r>
            <w:r w:rsidR="00001A31" w:rsidRPr="00017E8F">
              <w:rPr>
                <w:rFonts w:cs="Arial"/>
                <w:color w:val="000000" w:themeColor="text1"/>
                <w:szCs w:val="20"/>
              </w:rPr>
              <w:t xml:space="preserve"> and obligations</w:t>
            </w:r>
            <w:r w:rsidR="003555B9" w:rsidRPr="00017E8F">
              <w:rPr>
                <w:rFonts w:cs="Arial"/>
                <w:color w:val="000000" w:themeColor="text1"/>
                <w:szCs w:val="20"/>
              </w:rPr>
              <w:t xml:space="preserve"> including sexual harassment, </w:t>
            </w:r>
            <w:r w:rsidR="00D21A13" w:rsidRPr="00017E8F">
              <w:rPr>
                <w:rFonts w:cs="Arial"/>
                <w:color w:val="000000" w:themeColor="text1"/>
                <w:szCs w:val="20"/>
              </w:rPr>
              <w:t>domestic abuse and young workers.</w:t>
            </w:r>
          </w:p>
          <w:p w14:paraId="67355C7B" w14:textId="15DAAE28" w:rsidR="000B4AA1" w:rsidRPr="00AA3D39" w:rsidRDefault="00D21A13" w:rsidP="00AA3D39">
            <w:pPr>
              <w:pStyle w:val="ListParagraph"/>
              <w:numPr>
                <w:ilvl w:val="0"/>
                <w:numId w:val="22"/>
              </w:numPr>
              <w:jc w:val="left"/>
              <w:rPr>
                <w:rFonts w:cs="Arial"/>
                <w:color w:val="000000" w:themeColor="text1"/>
                <w:szCs w:val="20"/>
              </w:rPr>
            </w:pPr>
            <w:r>
              <w:rPr>
                <w:rFonts w:cs="Arial"/>
                <w:color w:val="000000" w:themeColor="text1"/>
                <w:szCs w:val="20"/>
              </w:rPr>
              <w:t>Increasingly clients are requesting visibility of and contact with a safeguarding lead as part of Sodexo’s service proposition/delivery.</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D710A77" w14:textId="59F8F9A8" w:rsidR="006311ED" w:rsidRPr="006311ED" w:rsidRDefault="006311ED" w:rsidP="006311ED">
            <w:pPr>
              <w:pStyle w:val="ListParagraph"/>
              <w:numPr>
                <w:ilvl w:val="0"/>
                <w:numId w:val="24"/>
              </w:numPr>
              <w:jc w:val="left"/>
              <w:rPr>
                <w:rFonts w:cs="Arial"/>
                <w:szCs w:val="20"/>
              </w:rPr>
            </w:pPr>
            <w:r w:rsidRPr="006311ED">
              <w:rPr>
                <w:rFonts w:cs="Arial"/>
                <w:szCs w:val="20"/>
              </w:rPr>
              <w:t xml:space="preserve">Act as the subject matter expert on safeguarding in </w:t>
            </w:r>
            <w:r w:rsidR="00A028DF">
              <w:rPr>
                <w:rFonts w:cs="Arial"/>
                <w:szCs w:val="20"/>
              </w:rPr>
              <w:t xml:space="preserve">both </w:t>
            </w:r>
            <w:r>
              <w:rPr>
                <w:rFonts w:cs="Arial"/>
                <w:szCs w:val="20"/>
              </w:rPr>
              <w:t>statutory</w:t>
            </w:r>
            <w:r w:rsidR="00A028DF">
              <w:rPr>
                <w:rFonts w:cs="Arial"/>
                <w:szCs w:val="20"/>
              </w:rPr>
              <w:t xml:space="preserve"> (children &amp; vulnerable adults)</w:t>
            </w:r>
            <w:r>
              <w:rPr>
                <w:rFonts w:cs="Arial"/>
                <w:szCs w:val="20"/>
              </w:rPr>
              <w:t xml:space="preserve"> and broader matters</w:t>
            </w:r>
            <w:r w:rsidRPr="006311ED">
              <w:rPr>
                <w:rFonts w:cs="Arial"/>
                <w:szCs w:val="20"/>
              </w:rPr>
              <w:t>.</w:t>
            </w:r>
          </w:p>
          <w:p w14:paraId="24AB6E25" w14:textId="77777777" w:rsidR="006311ED" w:rsidRPr="006311ED" w:rsidRDefault="006311ED" w:rsidP="006311ED">
            <w:pPr>
              <w:pStyle w:val="ListParagraph"/>
              <w:numPr>
                <w:ilvl w:val="0"/>
                <w:numId w:val="24"/>
              </w:numPr>
              <w:jc w:val="left"/>
              <w:rPr>
                <w:rFonts w:cs="Arial"/>
                <w:szCs w:val="20"/>
              </w:rPr>
            </w:pPr>
            <w:r w:rsidRPr="006311ED">
              <w:rPr>
                <w:rFonts w:cs="Arial"/>
                <w:szCs w:val="20"/>
              </w:rPr>
              <w:t>Provide consultancy and guidance to internal teams on sector-specific safeguarding risks and responses.</w:t>
            </w:r>
          </w:p>
          <w:p w14:paraId="5FAD3F1B" w14:textId="7F9ADE11" w:rsidR="006311ED" w:rsidRPr="006311ED" w:rsidRDefault="006311ED" w:rsidP="006311ED">
            <w:pPr>
              <w:pStyle w:val="ListParagraph"/>
              <w:numPr>
                <w:ilvl w:val="0"/>
                <w:numId w:val="24"/>
              </w:numPr>
              <w:jc w:val="left"/>
              <w:rPr>
                <w:rFonts w:cs="Arial"/>
                <w:szCs w:val="20"/>
              </w:rPr>
            </w:pPr>
            <w:r w:rsidRPr="006311ED">
              <w:rPr>
                <w:rFonts w:cs="Arial"/>
                <w:szCs w:val="20"/>
              </w:rPr>
              <w:t xml:space="preserve">Stay abreast of regulatory changes and emerging trends </w:t>
            </w:r>
            <w:r w:rsidR="00B677C9">
              <w:rPr>
                <w:rFonts w:cs="Arial"/>
                <w:szCs w:val="20"/>
              </w:rPr>
              <w:t xml:space="preserve">in safeguarding </w:t>
            </w:r>
            <w:r w:rsidR="006E6A9D">
              <w:rPr>
                <w:rFonts w:cs="Arial"/>
                <w:szCs w:val="20"/>
              </w:rPr>
              <w:t xml:space="preserve">and advise </w:t>
            </w:r>
            <w:r w:rsidR="00B677C9">
              <w:rPr>
                <w:rFonts w:cs="Arial"/>
                <w:szCs w:val="20"/>
              </w:rPr>
              <w:t xml:space="preserve">stakeholders </w:t>
            </w:r>
            <w:r w:rsidR="006E6A9D">
              <w:rPr>
                <w:rFonts w:cs="Arial"/>
                <w:szCs w:val="20"/>
              </w:rPr>
              <w:t>accordingly</w:t>
            </w:r>
            <w:r w:rsidRPr="006311ED">
              <w:rPr>
                <w:rFonts w:cs="Arial"/>
                <w:szCs w:val="20"/>
              </w:rPr>
              <w:t>.</w:t>
            </w:r>
          </w:p>
          <w:p w14:paraId="145ADB75" w14:textId="745968A1" w:rsidR="006311ED" w:rsidRDefault="004B5F89" w:rsidP="006311ED">
            <w:pPr>
              <w:pStyle w:val="ListParagraph"/>
              <w:numPr>
                <w:ilvl w:val="0"/>
                <w:numId w:val="24"/>
              </w:numPr>
              <w:jc w:val="left"/>
              <w:rPr>
                <w:rFonts w:cs="Arial"/>
                <w:szCs w:val="20"/>
              </w:rPr>
            </w:pPr>
            <w:r>
              <w:rPr>
                <w:rFonts w:cs="Arial"/>
                <w:szCs w:val="20"/>
              </w:rPr>
              <w:t>Where relevant, t</w:t>
            </w:r>
            <w:r w:rsidR="006311ED" w:rsidRPr="006311ED">
              <w:rPr>
                <w:rFonts w:cs="Arial"/>
                <w:szCs w:val="20"/>
              </w:rPr>
              <w:t>ranslate public sector safeguarding standards into commercial best practice.</w:t>
            </w:r>
          </w:p>
          <w:p w14:paraId="0CFA6868" w14:textId="20D2FB20" w:rsidR="006E6A9D" w:rsidRPr="006311ED" w:rsidRDefault="006E6A9D" w:rsidP="006311ED">
            <w:pPr>
              <w:pStyle w:val="ListParagraph"/>
              <w:numPr>
                <w:ilvl w:val="0"/>
                <w:numId w:val="24"/>
              </w:numPr>
              <w:jc w:val="left"/>
              <w:rPr>
                <w:rFonts w:cs="Arial"/>
                <w:szCs w:val="20"/>
              </w:rPr>
            </w:pPr>
            <w:r>
              <w:rPr>
                <w:rFonts w:cs="Arial"/>
                <w:szCs w:val="20"/>
              </w:rPr>
              <w:t>Identify and report risk through appropriate channels and provide recommendations on mitigation.</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2A2AEA20" w14:textId="4D6020FA" w:rsidR="001F73DB" w:rsidRPr="001F73DB" w:rsidRDefault="001F73DB" w:rsidP="001F73DB">
            <w:pPr>
              <w:pStyle w:val="ListParagraph"/>
              <w:numPr>
                <w:ilvl w:val="0"/>
                <w:numId w:val="22"/>
              </w:numPr>
              <w:jc w:val="left"/>
              <w:rPr>
                <w:rFonts w:cs="Arial"/>
                <w:color w:val="000000" w:themeColor="text1"/>
                <w:szCs w:val="20"/>
              </w:rPr>
            </w:pPr>
            <w:r w:rsidRPr="000D781C">
              <w:rPr>
                <w:rFonts w:cs="Arial"/>
                <w:b/>
                <w:bCs/>
                <w:color w:val="000000" w:themeColor="text1"/>
                <w:szCs w:val="20"/>
              </w:rPr>
              <w:t>Financial:</w:t>
            </w:r>
            <w:r w:rsidR="00511EA6">
              <w:rPr>
                <w:rFonts w:cs="Arial"/>
                <w:color w:val="000000" w:themeColor="text1"/>
                <w:szCs w:val="20"/>
              </w:rPr>
              <w:t xml:space="preserve"> </w:t>
            </w:r>
            <w:r w:rsidR="00DD2418" w:rsidRPr="00DD2418">
              <w:rPr>
                <w:rFonts w:cs="Arial"/>
                <w:color w:val="000000" w:themeColor="text1"/>
                <w:szCs w:val="20"/>
              </w:rPr>
              <w:t>The Safeguarding Lead plays a critical role in mitigating financial risk by ensuring compliance with safeguarding legislation and best practice, reducing exposure to litigation, regulatory fines, compensation claims, and reputational damage. This includes oversight of safeguarding-related incidents across a workforce of approximately 30k+ employees.</w:t>
            </w:r>
          </w:p>
          <w:p w14:paraId="6B272452" w14:textId="015B6B6C" w:rsidR="001F73DB" w:rsidRPr="001F73DB" w:rsidRDefault="001F73DB" w:rsidP="001F73DB">
            <w:pPr>
              <w:pStyle w:val="ListParagraph"/>
              <w:numPr>
                <w:ilvl w:val="0"/>
                <w:numId w:val="22"/>
              </w:numPr>
              <w:jc w:val="left"/>
              <w:rPr>
                <w:rFonts w:cs="Arial"/>
                <w:color w:val="000000" w:themeColor="text1"/>
                <w:szCs w:val="20"/>
              </w:rPr>
            </w:pPr>
            <w:r w:rsidRPr="000D781C">
              <w:rPr>
                <w:rFonts w:cs="Arial"/>
                <w:b/>
                <w:bCs/>
                <w:color w:val="000000" w:themeColor="text1"/>
                <w:szCs w:val="20"/>
              </w:rPr>
              <w:t>Staff:</w:t>
            </w:r>
            <w:r w:rsidRPr="001F73DB">
              <w:rPr>
                <w:rFonts w:cs="Arial"/>
                <w:color w:val="000000" w:themeColor="text1"/>
                <w:szCs w:val="20"/>
              </w:rPr>
              <w:t xml:space="preserve"> </w:t>
            </w:r>
            <w:r w:rsidR="00BD0F1A">
              <w:rPr>
                <w:rFonts w:cs="Arial"/>
                <w:color w:val="000000" w:themeColor="text1"/>
                <w:szCs w:val="20"/>
              </w:rPr>
              <w:t>I</w:t>
            </w:r>
            <w:r w:rsidR="00FA2DA8">
              <w:rPr>
                <w:rFonts w:cs="Arial"/>
                <w:color w:val="000000" w:themeColor="text1"/>
                <w:szCs w:val="20"/>
              </w:rPr>
              <w:t xml:space="preserve">ndirect </w:t>
            </w:r>
            <w:r w:rsidR="006E6A9D">
              <w:rPr>
                <w:rFonts w:cs="Arial"/>
                <w:color w:val="000000" w:themeColor="text1"/>
                <w:szCs w:val="20"/>
              </w:rPr>
              <w:t xml:space="preserve">central </w:t>
            </w:r>
            <w:r w:rsidR="00FA2DA8">
              <w:rPr>
                <w:rFonts w:cs="Arial"/>
                <w:color w:val="000000" w:themeColor="text1"/>
                <w:szCs w:val="20"/>
              </w:rPr>
              <w:t xml:space="preserve">support to colleagues </w:t>
            </w:r>
            <w:r w:rsidR="006E6A9D">
              <w:rPr>
                <w:rFonts w:cs="Arial"/>
                <w:color w:val="000000" w:themeColor="text1"/>
                <w:szCs w:val="20"/>
              </w:rPr>
              <w:t>performing</w:t>
            </w:r>
            <w:r w:rsidR="00FA2DA8">
              <w:rPr>
                <w:rFonts w:cs="Arial"/>
                <w:color w:val="000000" w:themeColor="text1"/>
                <w:szCs w:val="20"/>
              </w:rPr>
              <w:t xml:space="preserve"> aspects of safeguarding </w:t>
            </w:r>
            <w:r w:rsidR="006E6A9D">
              <w:rPr>
                <w:rFonts w:cs="Arial"/>
                <w:color w:val="000000" w:themeColor="text1"/>
                <w:szCs w:val="20"/>
              </w:rPr>
              <w:t>compliance</w:t>
            </w:r>
            <w:r w:rsidR="00FA2DA8">
              <w:rPr>
                <w:rFonts w:cs="Arial"/>
                <w:color w:val="000000" w:themeColor="text1"/>
                <w:szCs w:val="20"/>
              </w:rPr>
              <w:t xml:space="preserve"> within </w:t>
            </w:r>
            <w:r w:rsidR="006E6A9D">
              <w:rPr>
                <w:rFonts w:cs="Arial"/>
                <w:color w:val="000000" w:themeColor="text1"/>
                <w:szCs w:val="20"/>
              </w:rPr>
              <w:t>Segment</w:t>
            </w:r>
            <w:r w:rsidR="00FA2DA8">
              <w:rPr>
                <w:rFonts w:cs="Arial"/>
                <w:color w:val="000000" w:themeColor="text1"/>
                <w:szCs w:val="20"/>
              </w:rPr>
              <w:t xml:space="preserve"> </w:t>
            </w:r>
            <w:r w:rsidR="006E6A9D">
              <w:rPr>
                <w:rFonts w:cs="Arial"/>
                <w:color w:val="000000" w:themeColor="text1"/>
                <w:szCs w:val="20"/>
              </w:rPr>
              <w:t>particularly</w:t>
            </w:r>
            <w:r w:rsidR="00FA2DA8">
              <w:rPr>
                <w:rFonts w:cs="Arial"/>
                <w:color w:val="000000" w:themeColor="text1"/>
                <w:szCs w:val="20"/>
              </w:rPr>
              <w:t xml:space="preserve"> Health &amp; </w:t>
            </w:r>
            <w:r w:rsidR="006E6A9D">
              <w:rPr>
                <w:rFonts w:cs="Arial"/>
                <w:color w:val="000000" w:themeColor="text1"/>
                <w:szCs w:val="20"/>
              </w:rPr>
              <w:t>C</w:t>
            </w:r>
            <w:r w:rsidR="00FA2DA8">
              <w:rPr>
                <w:rFonts w:cs="Arial"/>
                <w:color w:val="000000" w:themeColor="text1"/>
                <w:szCs w:val="20"/>
              </w:rPr>
              <w:t xml:space="preserve">are and Schools &amp; </w:t>
            </w:r>
            <w:r w:rsidR="006E6A9D">
              <w:rPr>
                <w:rFonts w:cs="Arial"/>
                <w:color w:val="000000" w:themeColor="text1"/>
                <w:szCs w:val="20"/>
              </w:rPr>
              <w:t>Universities</w:t>
            </w:r>
            <w:r w:rsidR="00162A50">
              <w:rPr>
                <w:rFonts w:cs="Arial"/>
                <w:color w:val="000000" w:themeColor="text1"/>
                <w:szCs w:val="20"/>
              </w:rPr>
              <w:t xml:space="preserve"> and also Justice where required</w:t>
            </w:r>
            <w:r w:rsidR="00FA2DA8">
              <w:rPr>
                <w:rFonts w:cs="Arial"/>
                <w:color w:val="000000" w:themeColor="text1"/>
                <w:szCs w:val="20"/>
              </w:rPr>
              <w:t xml:space="preserve">. </w:t>
            </w:r>
            <w:r w:rsidR="009F4120">
              <w:rPr>
                <w:rFonts w:cs="Arial"/>
                <w:color w:val="000000" w:themeColor="text1"/>
                <w:szCs w:val="20"/>
              </w:rPr>
              <w:t xml:space="preserve">Centre of excellence support to entire organization. </w:t>
            </w:r>
          </w:p>
          <w:p w14:paraId="0EA1C6A5" w14:textId="0896BF9F" w:rsidR="0095128F" w:rsidRPr="00D87CC8" w:rsidRDefault="0095128F" w:rsidP="009F4120">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7CC93012" w14:textId="155BB789" w:rsidR="001452A7" w:rsidRDefault="001452A7" w:rsidP="001452A7">
            <w:pPr>
              <w:pStyle w:val="ListParagraph"/>
              <w:numPr>
                <w:ilvl w:val="0"/>
                <w:numId w:val="24"/>
              </w:numPr>
              <w:jc w:val="left"/>
              <w:rPr>
                <w:rFonts w:cs="Arial"/>
                <w:szCs w:val="20"/>
              </w:rPr>
            </w:pPr>
            <w:r w:rsidRPr="001452A7">
              <w:rPr>
                <w:rFonts w:cs="Arial"/>
                <w:szCs w:val="20"/>
              </w:rPr>
              <w:t>Proven experience in safeguarding, HR, compliance, or a related field.</w:t>
            </w:r>
            <w:r w:rsidR="006415B0">
              <w:t xml:space="preserve"> </w:t>
            </w:r>
            <w:r w:rsidR="006415B0" w:rsidRPr="006415B0">
              <w:rPr>
                <w:rFonts w:cs="Arial"/>
                <w:szCs w:val="20"/>
              </w:rPr>
              <w:t>Level 4 Award for Designated Safeguarding Lead</w:t>
            </w:r>
            <w:r w:rsidR="00DD2418">
              <w:rPr>
                <w:rFonts w:cs="Arial"/>
                <w:szCs w:val="20"/>
              </w:rPr>
              <w:t xml:space="preserve"> or equivalent for ROI</w:t>
            </w:r>
          </w:p>
          <w:p w14:paraId="0B3E5AB4" w14:textId="6C9BF5CF" w:rsidR="00E51A10" w:rsidRPr="001452A7" w:rsidRDefault="00E51A10" w:rsidP="001452A7">
            <w:pPr>
              <w:pStyle w:val="ListParagraph"/>
              <w:numPr>
                <w:ilvl w:val="0"/>
                <w:numId w:val="24"/>
              </w:numPr>
              <w:jc w:val="left"/>
              <w:rPr>
                <w:rFonts w:cs="Arial"/>
                <w:szCs w:val="20"/>
              </w:rPr>
            </w:pPr>
            <w:r w:rsidRPr="00E51A10">
              <w:rPr>
                <w:rFonts w:cs="Arial"/>
                <w:szCs w:val="20"/>
              </w:rPr>
              <w:t>A current and clean enhanced DBS check</w:t>
            </w:r>
          </w:p>
          <w:p w14:paraId="4D460CA3" w14:textId="26CBEB69" w:rsidR="001452A7" w:rsidRPr="001452A7" w:rsidRDefault="001452A7" w:rsidP="001452A7">
            <w:pPr>
              <w:pStyle w:val="ListParagraph"/>
              <w:numPr>
                <w:ilvl w:val="0"/>
                <w:numId w:val="24"/>
              </w:numPr>
              <w:jc w:val="left"/>
              <w:rPr>
                <w:rFonts w:cs="Arial"/>
                <w:szCs w:val="20"/>
              </w:rPr>
            </w:pPr>
            <w:r w:rsidRPr="001452A7">
              <w:rPr>
                <w:rFonts w:cs="Arial"/>
                <w:szCs w:val="20"/>
              </w:rPr>
              <w:t>Demonstrable expertise in safeguarding.</w:t>
            </w:r>
          </w:p>
          <w:p w14:paraId="135FAAD9" w14:textId="58E243CB" w:rsidR="001452A7" w:rsidRPr="001452A7" w:rsidRDefault="001452A7" w:rsidP="001452A7">
            <w:pPr>
              <w:pStyle w:val="ListParagraph"/>
              <w:numPr>
                <w:ilvl w:val="0"/>
                <w:numId w:val="24"/>
              </w:numPr>
              <w:jc w:val="left"/>
              <w:rPr>
                <w:rFonts w:cs="Arial"/>
                <w:szCs w:val="20"/>
              </w:rPr>
            </w:pPr>
            <w:r w:rsidRPr="001452A7">
              <w:rPr>
                <w:rFonts w:cs="Arial"/>
                <w:szCs w:val="20"/>
              </w:rPr>
              <w:t>Strong understanding of UK safeguarding legislation</w:t>
            </w:r>
            <w:r>
              <w:rPr>
                <w:rFonts w:cs="Arial"/>
                <w:szCs w:val="20"/>
              </w:rPr>
              <w:t xml:space="preserve"> </w:t>
            </w:r>
            <w:r w:rsidR="00A028DF">
              <w:rPr>
                <w:rFonts w:cs="Arial"/>
                <w:szCs w:val="20"/>
              </w:rPr>
              <w:t>in</w:t>
            </w:r>
            <w:r>
              <w:rPr>
                <w:rFonts w:cs="Arial"/>
                <w:szCs w:val="20"/>
              </w:rPr>
              <w:t xml:space="preserve"> the employment context</w:t>
            </w:r>
          </w:p>
          <w:p w14:paraId="582A144F" w14:textId="77777777" w:rsidR="001452A7" w:rsidRPr="001452A7" w:rsidRDefault="001452A7" w:rsidP="001452A7">
            <w:pPr>
              <w:pStyle w:val="ListParagraph"/>
              <w:numPr>
                <w:ilvl w:val="0"/>
                <w:numId w:val="24"/>
              </w:numPr>
              <w:jc w:val="left"/>
              <w:rPr>
                <w:rFonts w:cs="Arial"/>
                <w:szCs w:val="20"/>
              </w:rPr>
            </w:pPr>
            <w:r w:rsidRPr="001452A7">
              <w:rPr>
                <w:rFonts w:cs="Arial"/>
                <w:szCs w:val="20"/>
              </w:rPr>
              <w:t>Familiarity with global safeguarding and whistleblowing standards.</w:t>
            </w:r>
          </w:p>
          <w:p w14:paraId="6159ED7E" w14:textId="77777777" w:rsidR="001452A7" w:rsidRPr="001452A7" w:rsidRDefault="001452A7" w:rsidP="001452A7">
            <w:pPr>
              <w:pStyle w:val="ListParagraph"/>
              <w:numPr>
                <w:ilvl w:val="0"/>
                <w:numId w:val="24"/>
              </w:numPr>
              <w:jc w:val="left"/>
              <w:rPr>
                <w:rFonts w:cs="Arial"/>
                <w:szCs w:val="20"/>
              </w:rPr>
            </w:pPr>
            <w:r w:rsidRPr="001452A7">
              <w:rPr>
                <w:rFonts w:cs="Arial"/>
                <w:szCs w:val="20"/>
              </w:rPr>
              <w:t>Exceptional interpersonal skills, with the ability to handle sensitive issues with empathy and discretion.</w:t>
            </w:r>
          </w:p>
          <w:p w14:paraId="51F8EFF6" w14:textId="6F5EAC66" w:rsidR="001452A7" w:rsidRPr="001452A7" w:rsidRDefault="001452A7" w:rsidP="001452A7">
            <w:pPr>
              <w:pStyle w:val="ListParagraph"/>
              <w:numPr>
                <w:ilvl w:val="0"/>
                <w:numId w:val="24"/>
              </w:numPr>
              <w:jc w:val="left"/>
              <w:rPr>
                <w:rFonts w:cs="Arial"/>
                <w:szCs w:val="20"/>
              </w:rPr>
            </w:pPr>
            <w:r w:rsidRPr="001452A7">
              <w:rPr>
                <w:rFonts w:cs="Arial"/>
                <w:szCs w:val="20"/>
              </w:rPr>
              <w:t xml:space="preserve">Experience conducting investigations and </w:t>
            </w:r>
            <w:r w:rsidR="00DD2418">
              <w:rPr>
                <w:rFonts w:cs="Arial"/>
                <w:szCs w:val="20"/>
              </w:rPr>
              <w:t xml:space="preserve">conducting sensitive and </w:t>
            </w:r>
            <w:r w:rsidRPr="001452A7">
              <w:rPr>
                <w:rFonts w:cs="Arial"/>
                <w:szCs w:val="20"/>
              </w:rPr>
              <w:t>complex cases.</w:t>
            </w:r>
          </w:p>
          <w:p w14:paraId="561A8D81" w14:textId="3768C7A8" w:rsidR="001452A7" w:rsidRPr="001452A7" w:rsidRDefault="001452A7" w:rsidP="001452A7">
            <w:pPr>
              <w:pStyle w:val="ListParagraph"/>
              <w:numPr>
                <w:ilvl w:val="0"/>
                <w:numId w:val="24"/>
              </w:numPr>
              <w:jc w:val="left"/>
              <w:rPr>
                <w:rFonts w:cs="Arial"/>
                <w:szCs w:val="20"/>
              </w:rPr>
            </w:pPr>
            <w:r w:rsidRPr="001452A7">
              <w:rPr>
                <w:rFonts w:cs="Arial"/>
                <w:szCs w:val="20"/>
              </w:rPr>
              <w:t>Relevant qualifications in safeguarding, social work, education, or HR</w:t>
            </w:r>
            <w:r>
              <w:rPr>
                <w:rFonts w:cs="Arial"/>
                <w:szCs w:val="20"/>
              </w:rPr>
              <w:t>.</w:t>
            </w:r>
          </w:p>
          <w:p w14:paraId="5D492723" w14:textId="77777777" w:rsidR="00DD2418" w:rsidRDefault="00DD2418" w:rsidP="00E70DC8">
            <w:pPr>
              <w:pStyle w:val="ListParagraph"/>
              <w:numPr>
                <w:ilvl w:val="0"/>
                <w:numId w:val="24"/>
              </w:numPr>
              <w:jc w:val="left"/>
              <w:rPr>
                <w:rFonts w:cs="Arial"/>
                <w:szCs w:val="20"/>
              </w:rPr>
            </w:pPr>
            <w:r w:rsidRPr="00DD2418">
              <w:rPr>
                <w:rFonts w:cs="Arial"/>
                <w:szCs w:val="20"/>
              </w:rPr>
              <w:t xml:space="preserve">Proven ability to influence senior stakeholders and lead </w:t>
            </w:r>
            <w:proofErr w:type="spellStart"/>
            <w:r w:rsidRPr="00DD2418">
              <w:rPr>
                <w:rFonts w:cs="Arial"/>
                <w:szCs w:val="20"/>
              </w:rPr>
              <w:t>organisation</w:t>
            </w:r>
            <w:proofErr w:type="spellEnd"/>
            <w:r w:rsidRPr="00DD2418">
              <w:rPr>
                <w:rFonts w:cs="Arial"/>
                <w:szCs w:val="20"/>
              </w:rPr>
              <w:t xml:space="preserve">-wide cultural change that embeds safeguarding as a strategic priority. </w:t>
            </w:r>
          </w:p>
          <w:p w14:paraId="57331F26" w14:textId="6B1D4767" w:rsidR="00E70DC8" w:rsidRPr="00E70DC8" w:rsidRDefault="001452A7" w:rsidP="00E70DC8">
            <w:pPr>
              <w:pStyle w:val="ListParagraph"/>
              <w:numPr>
                <w:ilvl w:val="0"/>
                <w:numId w:val="24"/>
              </w:numPr>
              <w:jc w:val="left"/>
              <w:rPr>
                <w:rFonts w:cs="Arial"/>
                <w:szCs w:val="20"/>
              </w:rPr>
            </w:pPr>
            <w:r w:rsidRPr="001452A7">
              <w:rPr>
                <w:rFonts w:cs="Arial"/>
                <w:szCs w:val="20"/>
              </w:rPr>
              <w:t>Confidence in engaging with external clients and partners on safeguarding matters.</w:t>
            </w:r>
            <w:r w:rsidR="00E70DC8">
              <w:t xml:space="preserve"> </w:t>
            </w:r>
            <w:r w:rsidR="00E70DC8" w:rsidRPr="00E70DC8">
              <w:rPr>
                <w:rFonts w:cs="Arial"/>
                <w:szCs w:val="20"/>
              </w:rPr>
              <w:t>Experience working with external safeguarding agencies (e.g., social services, police).</w:t>
            </w:r>
          </w:p>
          <w:p w14:paraId="35FEBE09" w14:textId="578AE892" w:rsidR="0095128F" w:rsidRPr="00DD2418" w:rsidRDefault="00DD2418" w:rsidP="00DD2418">
            <w:pPr>
              <w:pStyle w:val="ListParagraph"/>
              <w:numPr>
                <w:ilvl w:val="0"/>
                <w:numId w:val="24"/>
              </w:numPr>
              <w:rPr>
                <w:rFonts w:cs="Arial"/>
                <w:color w:val="000000" w:themeColor="text1"/>
                <w:szCs w:val="20"/>
              </w:rPr>
            </w:pPr>
            <w:r w:rsidRPr="00DD2418">
              <w:rPr>
                <w:rFonts w:cs="Arial"/>
                <w:szCs w:val="20"/>
              </w:rPr>
              <w:t xml:space="preserve">Strong knowledge of safeguarding legislation and frameworks across UK nations and the Republic of Ireland, with the ability to apply them in a multi-jurisdictional context. </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08D37A64" w14:textId="1F044D83" w:rsidR="006D5785" w:rsidRDefault="004167E2" w:rsidP="006D5785">
            <w:pPr>
              <w:jc w:val="left"/>
              <w:rPr>
                <w:rFonts w:cs="Arial"/>
                <w:color w:val="000000" w:themeColor="text1"/>
                <w:szCs w:val="20"/>
              </w:rPr>
            </w:pPr>
            <w:r w:rsidRPr="004167E2">
              <w:rPr>
                <w:rFonts w:cs="Arial"/>
                <w:color w:val="000000" w:themeColor="text1"/>
                <w:szCs w:val="20"/>
              </w:rPr>
              <w:drawing>
                <wp:inline distT="0" distB="0" distL="0" distR="0" wp14:anchorId="031E5A0F" wp14:editId="3E719F28">
                  <wp:extent cx="6450965" cy="1674495"/>
                  <wp:effectExtent l="0" t="0" r="6985" b="1905"/>
                  <wp:docPr id="97728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82537" name=""/>
                          <pic:cNvPicPr/>
                        </pic:nvPicPr>
                        <pic:blipFill>
                          <a:blip r:embed="rId12"/>
                          <a:stretch>
                            <a:fillRect/>
                          </a:stretch>
                        </pic:blipFill>
                        <pic:spPr>
                          <a:xfrm>
                            <a:off x="0" y="0"/>
                            <a:ext cx="6450965" cy="1674495"/>
                          </a:xfrm>
                          <a:prstGeom prst="rect">
                            <a:avLst/>
                          </a:prstGeom>
                        </pic:spPr>
                      </pic:pic>
                    </a:graphicData>
                  </a:graphic>
                </wp:inline>
              </w:drawing>
            </w:r>
          </w:p>
          <w:p w14:paraId="23BBBFBF"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479781E8" w:rsidR="0023185C" w:rsidRPr="00A824A9" w:rsidRDefault="00734B88" w:rsidP="0023185C">
            <w:pPr>
              <w:pStyle w:val="ListParagraph"/>
              <w:numPr>
                <w:ilvl w:val="0"/>
                <w:numId w:val="5"/>
              </w:numPr>
              <w:jc w:val="left"/>
              <w:rPr>
                <w:rFonts w:cs="Arial"/>
                <w:szCs w:val="20"/>
              </w:rPr>
            </w:pPr>
            <w:r>
              <w:rPr>
                <w:rFonts w:cs="Arial"/>
                <w:szCs w:val="20"/>
              </w:rPr>
              <w:t>RLT -</w:t>
            </w:r>
            <w:r w:rsidR="00F918C5">
              <w:rPr>
                <w:rFonts w:cs="Arial"/>
                <w:szCs w:val="20"/>
              </w:rPr>
              <w:t xml:space="preserve"> </w:t>
            </w:r>
            <w:r w:rsidR="00D12421">
              <w:rPr>
                <w:rFonts w:cs="Arial"/>
                <w:szCs w:val="20"/>
              </w:rPr>
              <w:t>2</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lastRenderedPageBreak/>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2"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3"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4"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5"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5"/>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9CC7" w14:textId="77777777" w:rsidR="00EA3421" w:rsidRDefault="00EA3421">
      <w:r>
        <w:separator/>
      </w:r>
    </w:p>
  </w:endnote>
  <w:endnote w:type="continuationSeparator" w:id="0">
    <w:p w14:paraId="492D69F8" w14:textId="77777777" w:rsidR="00EA3421" w:rsidRDefault="00EA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C87E" w14:textId="77777777" w:rsidR="00EA3421" w:rsidRDefault="00EA3421">
      <w:r>
        <w:separator/>
      </w:r>
    </w:p>
  </w:footnote>
  <w:footnote w:type="continuationSeparator" w:id="0">
    <w:p w14:paraId="1DFBF139" w14:textId="77777777" w:rsidR="00EA3421" w:rsidRDefault="00EA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1A31"/>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17E8F"/>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81C"/>
    <w:rsid w:val="000D7F29"/>
    <w:rsid w:val="000E117F"/>
    <w:rsid w:val="000E1E1D"/>
    <w:rsid w:val="000E2919"/>
    <w:rsid w:val="000E70F5"/>
    <w:rsid w:val="000F1F57"/>
    <w:rsid w:val="000F2048"/>
    <w:rsid w:val="000F3240"/>
    <w:rsid w:val="000F3510"/>
    <w:rsid w:val="000F479D"/>
    <w:rsid w:val="000F7A97"/>
    <w:rsid w:val="00101002"/>
    <w:rsid w:val="00104F30"/>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52A7"/>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2A50"/>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3893"/>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E6947"/>
    <w:rsid w:val="001E7984"/>
    <w:rsid w:val="001F054B"/>
    <w:rsid w:val="001F18BC"/>
    <w:rsid w:val="001F221A"/>
    <w:rsid w:val="001F3471"/>
    <w:rsid w:val="001F3513"/>
    <w:rsid w:val="001F73DB"/>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95672"/>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479"/>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5B9"/>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31DD"/>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56D9"/>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7E2"/>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3F22"/>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B5F89"/>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4AC7"/>
    <w:rsid w:val="00511EA6"/>
    <w:rsid w:val="005135FA"/>
    <w:rsid w:val="00515F23"/>
    <w:rsid w:val="00517DB3"/>
    <w:rsid w:val="00520FDE"/>
    <w:rsid w:val="00521166"/>
    <w:rsid w:val="00521AEE"/>
    <w:rsid w:val="00521C4C"/>
    <w:rsid w:val="0052281A"/>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6A3"/>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3BA5"/>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11ED"/>
    <w:rsid w:val="00633879"/>
    <w:rsid w:val="00633D07"/>
    <w:rsid w:val="00633DB9"/>
    <w:rsid w:val="00634580"/>
    <w:rsid w:val="00634C3A"/>
    <w:rsid w:val="00635706"/>
    <w:rsid w:val="00635DB2"/>
    <w:rsid w:val="006401B8"/>
    <w:rsid w:val="0064023B"/>
    <w:rsid w:val="006415B0"/>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154"/>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4CCA"/>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A9D"/>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1414"/>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4B88"/>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3DE"/>
    <w:rsid w:val="007A2609"/>
    <w:rsid w:val="007A265D"/>
    <w:rsid w:val="007A3027"/>
    <w:rsid w:val="007A5865"/>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577B"/>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0FDD"/>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55C6"/>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11E"/>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485C"/>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56ADA"/>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31C5"/>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120"/>
    <w:rsid w:val="009F4C3A"/>
    <w:rsid w:val="009F4E24"/>
    <w:rsid w:val="009F655B"/>
    <w:rsid w:val="009F7066"/>
    <w:rsid w:val="009F7D2D"/>
    <w:rsid w:val="00A00A11"/>
    <w:rsid w:val="00A00AD8"/>
    <w:rsid w:val="00A00B17"/>
    <w:rsid w:val="00A01842"/>
    <w:rsid w:val="00A027E5"/>
    <w:rsid w:val="00A028DF"/>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3D39"/>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77C9"/>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2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907"/>
    <w:rsid w:val="00BB3EAB"/>
    <w:rsid w:val="00BB44CA"/>
    <w:rsid w:val="00BB5A4A"/>
    <w:rsid w:val="00BB7744"/>
    <w:rsid w:val="00BC014C"/>
    <w:rsid w:val="00BC01F4"/>
    <w:rsid w:val="00BC06D8"/>
    <w:rsid w:val="00BC0A24"/>
    <w:rsid w:val="00BC1808"/>
    <w:rsid w:val="00BC1CD8"/>
    <w:rsid w:val="00BC4296"/>
    <w:rsid w:val="00BC43EE"/>
    <w:rsid w:val="00BC4475"/>
    <w:rsid w:val="00BD0F1A"/>
    <w:rsid w:val="00BD1275"/>
    <w:rsid w:val="00BD14A8"/>
    <w:rsid w:val="00BD36EA"/>
    <w:rsid w:val="00BD3861"/>
    <w:rsid w:val="00BD4052"/>
    <w:rsid w:val="00BD47DE"/>
    <w:rsid w:val="00BD7E26"/>
    <w:rsid w:val="00BE08F1"/>
    <w:rsid w:val="00BE0A34"/>
    <w:rsid w:val="00BE179A"/>
    <w:rsid w:val="00BE3399"/>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1DEE"/>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421"/>
    <w:rsid w:val="00D12C88"/>
    <w:rsid w:val="00D12DE5"/>
    <w:rsid w:val="00D13C37"/>
    <w:rsid w:val="00D13FC4"/>
    <w:rsid w:val="00D1498B"/>
    <w:rsid w:val="00D14E1E"/>
    <w:rsid w:val="00D155B3"/>
    <w:rsid w:val="00D15AB4"/>
    <w:rsid w:val="00D16DC2"/>
    <w:rsid w:val="00D20064"/>
    <w:rsid w:val="00D2025E"/>
    <w:rsid w:val="00D21A13"/>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21E8"/>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1D9B"/>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418"/>
    <w:rsid w:val="00DD29E5"/>
    <w:rsid w:val="00DD3624"/>
    <w:rsid w:val="00DD4223"/>
    <w:rsid w:val="00DD612B"/>
    <w:rsid w:val="00DE0168"/>
    <w:rsid w:val="00DE091E"/>
    <w:rsid w:val="00DE23E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1A10"/>
    <w:rsid w:val="00E53507"/>
    <w:rsid w:val="00E5445C"/>
    <w:rsid w:val="00E54ADB"/>
    <w:rsid w:val="00E57C03"/>
    <w:rsid w:val="00E607C7"/>
    <w:rsid w:val="00E6102B"/>
    <w:rsid w:val="00E62BFA"/>
    <w:rsid w:val="00E63CC9"/>
    <w:rsid w:val="00E6433A"/>
    <w:rsid w:val="00E6434F"/>
    <w:rsid w:val="00E6568E"/>
    <w:rsid w:val="00E65D03"/>
    <w:rsid w:val="00E70738"/>
    <w:rsid w:val="00E70DC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3421"/>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4CB1"/>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8C5"/>
    <w:rsid w:val="00F91E07"/>
    <w:rsid w:val="00F92B16"/>
    <w:rsid w:val="00F92DD6"/>
    <w:rsid w:val="00F940DC"/>
    <w:rsid w:val="00F94472"/>
    <w:rsid w:val="00F94601"/>
    <w:rsid w:val="00F94C65"/>
    <w:rsid w:val="00F9612C"/>
    <w:rsid w:val="00FA09AE"/>
    <w:rsid w:val="00FA2183"/>
    <w:rsid w:val="00FA2DA8"/>
    <w:rsid w:val="00FA34CC"/>
    <w:rsid w:val="00FA530E"/>
    <w:rsid w:val="00FA660B"/>
    <w:rsid w:val="00FB158E"/>
    <w:rsid w:val="00FB2D36"/>
    <w:rsid w:val="00FB6933"/>
    <w:rsid w:val="00FB6B1B"/>
    <w:rsid w:val="00FB6C14"/>
    <w:rsid w:val="00FB6D69"/>
    <w:rsid w:val="00FC13FA"/>
    <w:rsid w:val="00FC2072"/>
    <w:rsid w:val="00FC2889"/>
    <w:rsid w:val="00FC5107"/>
    <w:rsid w:val="00FC53D2"/>
    <w:rsid w:val="00FC7625"/>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0CCB"/>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1060</Words>
  <Characters>6043</Characters>
  <Application>Microsoft Office Word</Application>
  <DocSecurity>0</DocSecurity>
  <Lines>50</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Emma Harvey</dc:creator>
  <cp:lastModifiedBy>Harvey, Emma</cp:lastModifiedBy>
  <cp:revision>2</cp:revision>
  <cp:lastPrinted>2014-08-21T13:59:00Z</cp:lastPrinted>
  <dcterms:created xsi:type="dcterms:W3CDTF">2026-01-05T15:21:00Z</dcterms:created>
  <dcterms:modified xsi:type="dcterms:W3CDTF">2026-01-05T15:21:00Z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