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9297512" w:rsidR="00685BE2" w:rsidRPr="00707D60" w:rsidRDefault="00291E7E" w:rsidP="009A36F7">
                            <w:pPr>
                              <w:jc w:val="left"/>
                              <w:rPr>
                                <w:b/>
                                <w:bCs/>
                                <w:color w:val="FFFFFF" w:themeColor="background1"/>
                                <w:sz w:val="40"/>
                                <w:szCs w:val="40"/>
                                <w:lang w:val="en-AU"/>
                              </w:rPr>
                            </w:pPr>
                            <w:r>
                              <w:rPr>
                                <w:b/>
                                <w:bCs/>
                                <w:color w:val="FFFFFF" w:themeColor="background1"/>
                                <w:sz w:val="44"/>
                                <w:szCs w:val="44"/>
                                <w:lang w:val="en-AU"/>
                              </w:rPr>
                              <w:t>Legal Counsel, Employment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9297512" w:rsidR="00685BE2" w:rsidRPr="00707D60" w:rsidRDefault="00291E7E" w:rsidP="009A36F7">
                      <w:pPr>
                        <w:jc w:val="left"/>
                        <w:rPr>
                          <w:b/>
                          <w:bCs/>
                          <w:color w:val="FFFFFF" w:themeColor="background1"/>
                          <w:sz w:val="40"/>
                          <w:szCs w:val="40"/>
                          <w:lang w:val="en-AU"/>
                        </w:rPr>
                      </w:pPr>
                      <w:r>
                        <w:rPr>
                          <w:b/>
                          <w:bCs/>
                          <w:color w:val="FFFFFF" w:themeColor="background1"/>
                          <w:sz w:val="44"/>
                          <w:szCs w:val="44"/>
                          <w:lang w:val="en-AU"/>
                        </w:rPr>
                        <w:t>Legal Counsel, Employment</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7BF9833E" w:rsidR="00800A60" w:rsidRPr="00A824A9" w:rsidRDefault="000A4118" w:rsidP="00800A60">
            <w:pPr>
              <w:spacing w:before="20" w:after="20"/>
              <w:jc w:val="left"/>
              <w:rPr>
                <w:rFonts w:cs="Arial"/>
                <w:color w:val="000000" w:themeColor="text1"/>
                <w:szCs w:val="20"/>
              </w:rPr>
            </w:pPr>
            <w:r>
              <w:rPr>
                <w:rFonts w:cs="Arial"/>
                <w:color w:val="000000" w:themeColor="text1"/>
                <w:szCs w:val="20"/>
              </w:rPr>
              <w:t>Legal</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49A5A01" w:rsidR="00800A60" w:rsidRPr="00A824A9" w:rsidRDefault="000A4118" w:rsidP="00800A60">
            <w:pPr>
              <w:spacing w:before="20" w:after="20"/>
              <w:jc w:val="left"/>
              <w:rPr>
                <w:rFonts w:cs="Arial"/>
                <w:color w:val="000000" w:themeColor="text1"/>
                <w:szCs w:val="20"/>
                <w:lang w:val="en-GB"/>
              </w:rPr>
            </w:pPr>
            <w:r>
              <w:rPr>
                <w:rFonts w:cs="Arial"/>
                <w:color w:val="000000" w:themeColor="text1"/>
                <w:szCs w:val="20"/>
                <w:lang w:val="en-GB"/>
              </w:rPr>
              <w:t>Legal Counsel, Employment</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8173B3D" w:rsidR="00800A60" w:rsidRDefault="000A4118" w:rsidP="00800A60">
            <w:pPr>
              <w:spacing w:before="20" w:after="20"/>
              <w:jc w:val="left"/>
              <w:rPr>
                <w:rFonts w:cs="Arial"/>
                <w:color w:val="000000" w:themeColor="text1"/>
                <w:szCs w:val="20"/>
              </w:rPr>
            </w:pPr>
            <w:r>
              <w:rPr>
                <w:rFonts w:cs="Arial"/>
                <w:color w:val="000000" w:themeColor="text1"/>
                <w:szCs w:val="20"/>
              </w:rPr>
              <w:t>Assistant General Counsel, Employment</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13AD5E7" w:rsidR="00800A60" w:rsidRDefault="000A4118" w:rsidP="00800A60">
            <w:pPr>
              <w:spacing w:before="20" w:after="20"/>
              <w:jc w:val="left"/>
              <w:rPr>
                <w:rFonts w:cs="Arial"/>
                <w:color w:val="000000" w:themeColor="text1"/>
                <w:szCs w:val="20"/>
              </w:rPr>
            </w:pPr>
            <w:r>
              <w:rPr>
                <w:rFonts w:cs="Arial"/>
                <w:color w:val="000000" w:themeColor="text1"/>
                <w:szCs w:val="20"/>
              </w:rPr>
              <w:t>Salford (other locations, including home working, can be discussed)</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1F3DD487" w:rsidR="0060007C" w:rsidRDefault="000A4118" w:rsidP="00AF0CE6">
            <w:pPr>
              <w:pStyle w:val="ListParagraph"/>
              <w:numPr>
                <w:ilvl w:val="0"/>
                <w:numId w:val="22"/>
              </w:numPr>
              <w:jc w:val="left"/>
              <w:rPr>
                <w:rFonts w:cs="Arial"/>
                <w:color w:val="000000" w:themeColor="text1"/>
                <w:szCs w:val="20"/>
              </w:rPr>
            </w:pPr>
            <w:r>
              <w:rPr>
                <w:rFonts w:cs="Arial"/>
                <w:color w:val="000000" w:themeColor="text1"/>
                <w:szCs w:val="20"/>
              </w:rPr>
              <w:t>To provide employment law advice and solutions for Sodexo UK&amp;I.</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316CE1AF" w14:textId="1CD05330"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 xml:space="preserve">Providing effective legal advice on all areas of employment law as required by </w:t>
            </w:r>
            <w:r>
              <w:rPr>
                <w:rFonts w:cs="Arial"/>
                <w:color w:val="000000" w:themeColor="text1"/>
                <w:szCs w:val="20"/>
              </w:rPr>
              <w:t xml:space="preserve">internal stakeholders across the </w:t>
            </w:r>
            <w:proofErr w:type="spellStart"/>
            <w:r>
              <w:rPr>
                <w:rFonts w:cs="Arial"/>
                <w:color w:val="000000" w:themeColor="text1"/>
                <w:szCs w:val="20"/>
              </w:rPr>
              <w:t>organisation</w:t>
            </w:r>
            <w:proofErr w:type="spellEnd"/>
            <w:r>
              <w:rPr>
                <w:rFonts w:cs="Arial"/>
                <w:color w:val="000000" w:themeColor="text1"/>
                <w:szCs w:val="20"/>
              </w:rPr>
              <w:t>.</w:t>
            </w:r>
          </w:p>
          <w:p w14:paraId="391AD223" w14:textId="2FDA07C2"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Providing and managing effective legal advice and support on all aspects of employment-related matters</w:t>
            </w:r>
            <w:r>
              <w:rPr>
                <w:rFonts w:cs="Arial"/>
                <w:color w:val="000000" w:themeColor="text1"/>
                <w:szCs w:val="20"/>
              </w:rPr>
              <w:t>,</w:t>
            </w:r>
            <w:r w:rsidRPr="00695C06">
              <w:rPr>
                <w:rFonts w:cs="Arial"/>
                <w:color w:val="000000" w:themeColor="text1"/>
                <w:szCs w:val="20"/>
              </w:rPr>
              <w:t xml:space="preserve"> </w:t>
            </w:r>
            <w:proofErr w:type="gramStart"/>
            <w:r w:rsidRPr="00695C06">
              <w:rPr>
                <w:rFonts w:cs="Arial"/>
                <w:color w:val="000000" w:themeColor="text1"/>
                <w:szCs w:val="20"/>
              </w:rPr>
              <w:t>including</w:t>
            </w:r>
            <w:r>
              <w:rPr>
                <w:rFonts w:cs="Arial"/>
                <w:color w:val="000000" w:themeColor="text1"/>
                <w:szCs w:val="20"/>
              </w:rPr>
              <w:t>:</w:t>
            </w:r>
            <w:proofErr w:type="gramEnd"/>
            <w:r w:rsidRPr="00695C06">
              <w:rPr>
                <w:rFonts w:cs="Arial"/>
                <w:color w:val="000000" w:themeColor="text1"/>
                <w:szCs w:val="20"/>
              </w:rPr>
              <w:t xml:space="preserve"> </w:t>
            </w:r>
            <w:r>
              <w:rPr>
                <w:rFonts w:cs="Arial"/>
                <w:color w:val="000000" w:themeColor="text1"/>
                <w:szCs w:val="20"/>
              </w:rPr>
              <w:t xml:space="preserve">complex ER matters, </w:t>
            </w:r>
            <w:r w:rsidR="00DD5E3B">
              <w:rPr>
                <w:rFonts w:cs="Arial"/>
                <w:color w:val="000000" w:themeColor="text1"/>
                <w:szCs w:val="20"/>
              </w:rPr>
              <w:t xml:space="preserve">projects, </w:t>
            </w:r>
            <w:r w:rsidRPr="00695C06">
              <w:rPr>
                <w:rFonts w:cs="Arial"/>
                <w:color w:val="000000" w:themeColor="text1"/>
                <w:szCs w:val="20"/>
              </w:rPr>
              <w:t xml:space="preserve">HR policies, </w:t>
            </w:r>
            <w:r w:rsidR="00F856EC">
              <w:rPr>
                <w:rFonts w:cs="Arial"/>
                <w:color w:val="000000" w:themeColor="text1"/>
                <w:szCs w:val="20"/>
              </w:rPr>
              <w:t xml:space="preserve">early conciliation and </w:t>
            </w:r>
            <w:r w:rsidRPr="00695C06">
              <w:rPr>
                <w:rFonts w:cs="Arial"/>
                <w:color w:val="000000" w:themeColor="text1"/>
                <w:szCs w:val="20"/>
              </w:rPr>
              <w:t>Employment Tribunal claims, employment terms and conditions, TUPE</w:t>
            </w:r>
            <w:r>
              <w:rPr>
                <w:rFonts w:cs="Arial"/>
                <w:color w:val="000000" w:themeColor="text1"/>
                <w:szCs w:val="20"/>
              </w:rPr>
              <w:t xml:space="preserve"> and</w:t>
            </w:r>
            <w:r w:rsidRPr="00695C06">
              <w:rPr>
                <w:rFonts w:cs="Arial"/>
                <w:color w:val="000000" w:themeColor="text1"/>
                <w:szCs w:val="20"/>
              </w:rPr>
              <w:t xml:space="preserve"> outsourcing</w:t>
            </w:r>
            <w:r>
              <w:rPr>
                <w:rFonts w:cs="Arial"/>
                <w:color w:val="000000" w:themeColor="text1"/>
                <w:szCs w:val="20"/>
              </w:rPr>
              <w:t>,</w:t>
            </w:r>
            <w:r w:rsidRPr="00695C06">
              <w:rPr>
                <w:rFonts w:cs="Arial"/>
                <w:color w:val="000000" w:themeColor="text1"/>
                <w:szCs w:val="20"/>
              </w:rPr>
              <w:t xml:space="preserve"> industrial relations</w:t>
            </w:r>
            <w:r>
              <w:rPr>
                <w:rFonts w:cs="Arial"/>
                <w:color w:val="000000" w:themeColor="text1"/>
                <w:szCs w:val="20"/>
              </w:rPr>
              <w:t xml:space="preserve">, settlement </w:t>
            </w:r>
            <w:r w:rsidRPr="00695C06">
              <w:rPr>
                <w:rFonts w:cs="Arial"/>
                <w:color w:val="000000" w:themeColor="text1"/>
                <w:szCs w:val="20"/>
              </w:rPr>
              <w:t>agreements</w:t>
            </w:r>
            <w:r>
              <w:rPr>
                <w:rFonts w:cs="Arial"/>
                <w:color w:val="000000" w:themeColor="text1"/>
                <w:szCs w:val="20"/>
              </w:rPr>
              <w:t xml:space="preserve"> and</w:t>
            </w:r>
            <w:r w:rsidRPr="00695C06">
              <w:rPr>
                <w:rFonts w:cs="Arial"/>
                <w:color w:val="000000" w:themeColor="text1"/>
                <w:szCs w:val="20"/>
              </w:rPr>
              <w:t xml:space="preserve"> pensions and benefits</w:t>
            </w:r>
            <w:r>
              <w:rPr>
                <w:rFonts w:cs="Arial"/>
                <w:color w:val="000000" w:themeColor="text1"/>
                <w:szCs w:val="20"/>
              </w:rPr>
              <w:t>.</w:t>
            </w:r>
          </w:p>
          <w:p w14:paraId="54FC6134" w14:textId="29D8B353"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Providing advice on collective (as well as individual) employment matters including consultation procedures,</w:t>
            </w:r>
            <w:r>
              <w:rPr>
                <w:rFonts w:cs="Arial"/>
                <w:color w:val="000000" w:themeColor="text1"/>
                <w:szCs w:val="20"/>
              </w:rPr>
              <w:t xml:space="preserve"> </w:t>
            </w:r>
            <w:r w:rsidRPr="00695C06">
              <w:rPr>
                <w:rFonts w:cs="Arial"/>
                <w:color w:val="000000" w:themeColor="text1"/>
                <w:szCs w:val="20"/>
              </w:rPr>
              <w:t>restructuring and redundancies</w:t>
            </w:r>
            <w:r>
              <w:rPr>
                <w:rFonts w:cs="Arial"/>
                <w:color w:val="000000" w:themeColor="text1"/>
                <w:szCs w:val="20"/>
              </w:rPr>
              <w:t>.</w:t>
            </w:r>
          </w:p>
          <w:p w14:paraId="7129F595" w14:textId="6085BB10" w:rsid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 xml:space="preserve">Assisting </w:t>
            </w:r>
            <w:r>
              <w:rPr>
                <w:rFonts w:cs="Arial"/>
                <w:color w:val="000000" w:themeColor="text1"/>
                <w:szCs w:val="20"/>
              </w:rPr>
              <w:t>stakeholders with</w:t>
            </w:r>
            <w:r w:rsidRPr="00695C06">
              <w:rPr>
                <w:rFonts w:cs="Arial"/>
                <w:color w:val="000000" w:themeColor="text1"/>
                <w:szCs w:val="20"/>
              </w:rPr>
              <w:t xml:space="preserve"> the assessment</w:t>
            </w:r>
            <w:r>
              <w:rPr>
                <w:rFonts w:cs="Arial"/>
                <w:color w:val="000000" w:themeColor="text1"/>
                <w:szCs w:val="20"/>
              </w:rPr>
              <w:t>,</w:t>
            </w:r>
            <w:r w:rsidRPr="00695C06">
              <w:rPr>
                <w:rFonts w:cs="Arial"/>
                <w:color w:val="000000" w:themeColor="text1"/>
                <w:szCs w:val="20"/>
              </w:rPr>
              <w:t xml:space="preserve"> management </w:t>
            </w:r>
            <w:r>
              <w:rPr>
                <w:rFonts w:cs="Arial"/>
                <w:color w:val="000000" w:themeColor="text1"/>
                <w:szCs w:val="20"/>
              </w:rPr>
              <w:t xml:space="preserve">and mitigation </w:t>
            </w:r>
            <w:r w:rsidRPr="00695C06">
              <w:rPr>
                <w:rFonts w:cs="Arial"/>
                <w:color w:val="000000" w:themeColor="text1"/>
                <w:szCs w:val="20"/>
              </w:rPr>
              <w:t>of legal risk</w:t>
            </w:r>
            <w:r>
              <w:rPr>
                <w:rFonts w:cs="Arial"/>
                <w:color w:val="000000" w:themeColor="text1"/>
                <w:szCs w:val="20"/>
              </w:rPr>
              <w:t>.</w:t>
            </w:r>
          </w:p>
          <w:p w14:paraId="303002F4" w14:textId="7681B4CE" w:rsidR="00F856EC" w:rsidRPr="00695C06" w:rsidRDefault="00F856EC" w:rsidP="00695C06">
            <w:pPr>
              <w:pStyle w:val="ListParagraph"/>
              <w:numPr>
                <w:ilvl w:val="0"/>
                <w:numId w:val="22"/>
              </w:numPr>
              <w:jc w:val="left"/>
              <w:rPr>
                <w:rFonts w:cs="Arial"/>
                <w:color w:val="000000" w:themeColor="text1"/>
                <w:szCs w:val="20"/>
              </w:rPr>
            </w:pPr>
            <w:r>
              <w:rPr>
                <w:rFonts w:cs="Arial"/>
                <w:color w:val="000000" w:themeColor="text1"/>
                <w:szCs w:val="20"/>
              </w:rPr>
              <w:t>Supporting the business with the introduction of new legislation to ensure compliant processes and effective risk management.</w:t>
            </w:r>
          </w:p>
          <w:p w14:paraId="71BF5255" w14:textId="498C34C5"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 xml:space="preserve">Collaborating with the HR community in providing legal training to HR and the </w:t>
            </w:r>
            <w:r>
              <w:rPr>
                <w:rFonts w:cs="Arial"/>
                <w:color w:val="000000" w:themeColor="text1"/>
                <w:szCs w:val="20"/>
              </w:rPr>
              <w:t>b</w:t>
            </w:r>
            <w:r w:rsidRPr="00695C06">
              <w:rPr>
                <w:rFonts w:cs="Arial"/>
                <w:color w:val="000000" w:themeColor="text1"/>
                <w:szCs w:val="20"/>
              </w:rPr>
              <w:t>usiness on all areas of employment law and HR policies to raise and maintain levels of awareness</w:t>
            </w:r>
            <w:r>
              <w:rPr>
                <w:rFonts w:cs="Arial"/>
                <w:color w:val="000000" w:themeColor="text1"/>
                <w:szCs w:val="20"/>
              </w:rPr>
              <w:t xml:space="preserve"> and compliance.</w:t>
            </w:r>
          </w:p>
          <w:p w14:paraId="53C674CC" w14:textId="5A686256"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Reporting and monitoring ET cases and helpline queries for continuous improvement</w:t>
            </w:r>
            <w:r>
              <w:rPr>
                <w:rFonts w:cs="Arial"/>
                <w:color w:val="000000" w:themeColor="text1"/>
                <w:szCs w:val="20"/>
              </w:rPr>
              <w:t>.</w:t>
            </w:r>
          </w:p>
          <w:p w14:paraId="7F7BA1ED" w14:textId="7191544E"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Helping to ensure that business is conducted in accordance with relevant law</w:t>
            </w:r>
            <w:r w:rsidR="00F856EC">
              <w:rPr>
                <w:rFonts w:cs="Arial"/>
                <w:color w:val="000000" w:themeColor="text1"/>
                <w:szCs w:val="20"/>
              </w:rPr>
              <w:t>s</w:t>
            </w:r>
            <w:r w:rsidRPr="00695C06">
              <w:rPr>
                <w:rFonts w:cs="Arial"/>
                <w:color w:val="000000" w:themeColor="text1"/>
                <w:szCs w:val="20"/>
              </w:rPr>
              <w:t xml:space="preserve"> and Sodexo’s internal governance processes</w:t>
            </w:r>
            <w:r>
              <w:rPr>
                <w:rFonts w:cs="Arial"/>
                <w:color w:val="000000" w:themeColor="text1"/>
                <w:szCs w:val="20"/>
              </w:rPr>
              <w:t>.</w:t>
            </w:r>
          </w:p>
          <w:p w14:paraId="45000FE9" w14:textId="00EEB257"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Managing the engagement of external lawyers under appropriate supervision</w:t>
            </w:r>
            <w:r>
              <w:rPr>
                <w:rFonts w:cs="Arial"/>
                <w:color w:val="000000" w:themeColor="text1"/>
                <w:szCs w:val="20"/>
              </w:rPr>
              <w:t>.</w:t>
            </w:r>
          </w:p>
          <w:p w14:paraId="2E6F3F94" w14:textId="603C72C5"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Working collaboratively with all members of the Legal team</w:t>
            </w:r>
            <w:r>
              <w:rPr>
                <w:rFonts w:cs="Arial"/>
                <w:color w:val="000000" w:themeColor="text1"/>
                <w:szCs w:val="20"/>
              </w:rPr>
              <w:t>.</w:t>
            </w:r>
          </w:p>
          <w:p w14:paraId="3E56556D" w14:textId="5E6B52DA"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Managing and participating in projects and initiatives for the Legal Department</w:t>
            </w:r>
            <w:r>
              <w:rPr>
                <w:rFonts w:cs="Arial"/>
                <w:color w:val="000000" w:themeColor="text1"/>
                <w:szCs w:val="20"/>
              </w:rPr>
              <w:t>.</w:t>
            </w:r>
          </w:p>
          <w:p w14:paraId="11180700" w14:textId="565670AE" w:rsidR="00695C06" w:rsidRPr="00695C06" w:rsidRDefault="00695C06" w:rsidP="00695C06">
            <w:pPr>
              <w:pStyle w:val="ListParagraph"/>
              <w:numPr>
                <w:ilvl w:val="0"/>
                <w:numId w:val="22"/>
              </w:numPr>
              <w:jc w:val="left"/>
              <w:rPr>
                <w:rFonts w:cs="Arial"/>
                <w:color w:val="000000" w:themeColor="text1"/>
                <w:szCs w:val="20"/>
              </w:rPr>
            </w:pPr>
            <w:r w:rsidRPr="00695C06">
              <w:rPr>
                <w:rFonts w:cs="Arial"/>
                <w:color w:val="000000" w:themeColor="text1"/>
                <w:szCs w:val="20"/>
              </w:rPr>
              <w:t>Managing and influencing outcomes proactively to achieve optimal results for Sodexo</w:t>
            </w:r>
            <w:r>
              <w:rPr>
                <w:rFonts w:cs="Arial"/>
                <w:color w:val="000000" w:themeColor="text1"/>
                <w:szCs w:val="20"/>
              </w:rPr>
              <w:t>.</w:t>
            </w:r>
          </w:p>
          <w:p w14:paraId="06F4AD77" w14:textId="4CFA4F66" w:rsidR="008260DB" w:rsidRPr="008260DB" w:rsidRDefault="008260DB" w:rsidP="00695C06">
            <w:pPr>
              <w:pStyle w:val="ListParagraph"/>
              <w:ind w:left="360"/>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082E5F68" w14:textId="0FBB7D9B" w:rsidR="000A4118" w:rsidRDefault="000A4118" w:rsidP="000A4118">
            <w:pPr>
              <w:pStyle w:val="ListParagraph"/>
              <w:numPr>
                <w:ilvl w:val="0"/>
                <w:numId w:val="22"/>
              </w:numPr>
              <w:jc w:val="left"/>
              <w:rPr>
                <w:rFonts w:cs="Arial"/>
                <w:color w:val="000000" w:themeColor="text1"/>
                <w:szCs w:val="20"/>
              </w:rPr>
            </w:pPr>
            <w:r>
              <w:rPr>
                <w:rFonts w:cs="Arial"/>
                <w:color w:val="000000" w:themeColor="text1"/>
                <w:szCs w:val="20"/>
              </w:rPr>
              <w:t>With o</w:t>
            </w:r>
            <w:r w:rsidRPr="000A4118">
              <w:rPr>
                <w:rFonts w:cs="Arial"/>
                <w:color w:val="000000" w:themeColor="text1"/>
                <w:szCs w:val="20"/>
              </w:rPr>
              <w:t>ver 40,000 staff in UK&amp;I</w:t>
            </w:r>
            <w:r>
              <w:rPr>
                <w:rFonts w:cs="Arial"/>
                <w:color w:val="000000" w:themeColor="text1"/>
                <w:szCs w:val="20"/>
              </w:rPr>
              <w:t>, Sodexo operates in</w:t>
            </w:r>
            <w:r w:rsidRPr="000A4118">
              <w:rPr>
                <w:rFonts w:cs="Arial"/>
                <w:color w:val="000000" w:themeColor="text1"/>
                <w:szCs w:val="20"/>
              </w:rPr>
              <w:t xml:space="preserve"> complex regulatory environment</w:t>
            </w:r>
            <w:r w:rsidR="00DD5E3B">
              <w:rPr>
                <w:rFonts w:cs="Arial"/>
                <w:color w:val="000000" w:themeColor="text1"/>
                <w:szCs w:val="20"/>
              </w:rPr>
              <w:t>s across</w:t>
            </w:r>
            <w:r>
              <w:rPr>
                <w:rFonts w:cs="Arial"/>
                <w:color w:val="000000" w:themeColor="text1"/>
                <w:szCs w:val="20"/>
              </w:rPr>
              <w:t xml:space="preserve"> numerous different Segments.</w:t>
            </w:r>
          </w:p>
          <w:p w14:paraId="4DFDA14B" w14:textId="60D4EAB5" w:rsidR="00DD7E9A" w:rsidRDefault="00DD7E9A" w:rsidP="000A4118">
            <w:pPr>
              <w:pStyle w:val="ListParagraph"/>
              <w:numPr>
                <w:ilvl w:val="0"/>
                <w:numId w:val="22"/>
              </w:numPr>
              <w:jc w:val="left"/>
              <w:rPr>
                <w:rFonts w:cs="Arial"/>
                <w:color w:val="000000" w:themeColor="text1"/>
                <w:szCs w:val="20"/>
              </w:rPr>
            </w:pPr>
            <w:r>
              <w:rPr>
                <w:rFonts w:cs="Arial"/>
                <w:color w:val="000000" w:themeColor="text1"/>
                <w:szCs w:val="20"/>
              </w:rPr>
              <w:t xml:space="preserve">A </w:t>
            </w:r>
            <w:proofErr w:type="spellStart"/>
            <w:r>
              <w:rPr>
                <w:rFonts w:cs="Arial"/>
                <w:color w:val="000000" w:themeColor="text1"/>
                <w:szCs w:val="20"/>
              </w:rPr>
              <w:t>unionised</w:t>
            </w:r>
            <w:proofErr w:type="spellEnd"/>
            <w:r>
              <w:rPr>
                <w:rFonts w:cs="Arial"/>
                <w:color w:val="000000" w:themeColor="text1"/>
                <w:szCs w:val="20"/>
              </w:rPr>
              <w:t xml:space="preserve"> environment in some contracts / Segments.</w:t>
            </w:r>
          </w:p>
          <w:p w14:paraId="79EA0007" w14:textId="04EA8162" w:rsidR="000A4118" w:rsidRPr="00695C06" w:rsidRDefault="000A4118" w:rsidP="00695C06">
            <w:pPr>
              <w:pStyle w:val="ListParagraph"/>
              <w:numPr>
                <w:ilvl w:val="0"/>
                <w:numId w:val="22"/>
              </w:numPr>
              <w:jc w:val="left"/>
              <w:rPr>
                <w:rFonts w:cs="Arial"/>
                <w:color w:val="000000" w:themeColor="text1"/>
                <w:szCs w:val="20"/>
              </w:rPr>
            </w:pPr>
            <w:r>
              <w:rPr>
                <w:rFonts w:cs="Arial"/>
                <w:color w:val="000000" w:themeColor="text1"/>
                <w:szCs w:val="20"/>
              </w:rPr>
              <w:t xml:space="preserve">Employment law continues to evolve with numerous significant legislative </w:t>
            </w:r>
            <w:r w:rsidR="00695C06">
              <w:rPr>
                <w:rFonts w:cs="Arial"/>
                <w:color w:val="000000" w:themeColor="text1"/>
                <w:szCs w:val="20"/>
              </w:rPr>
              <w:t xml:space="preserve">changes due to be introduced in the coming years - </w:t>
            </w:r>
            <w:r w:rsidRPr="00695C06">
              <w:rPr>
                <w:rFonts w:cs="Arial"/>
                <w:color w:val="000000" w:themeColor="text1"/>
                <w:szCs w:val="20"/>
              </w:rPr>
              <w:t xml:space="preserve">the effective management of </w:t>
            </w:r>
            <w:r w:rsidR="00DD5E3B">
              <w:rPr>
                <w:rFonts w:cs="Arial"/>
                <w:color w:val="000000" w:themeColor="text1"/>
                <w:szCs w:val="20"/>
              </w:rPr>
              <w:t xml:space="preserve">current and evolving </w:t>
            </w:r>
            <w:r w:rsidRPr="00695C06">
              <w:rPr>
                <w:rFonts w:cs="Arial"/>
                <w:color w:val="000000" w:themeColor="text1"/>
                <w:szCs w:val="20"/>
              </w:rPr>
              <w:t>employment law risk is essential</w:t>
            </w:r>
            <w:r w:rsidR="00695C06">
              <w:rPr>
                <w:rFonts w:cs="Arial"/>
                <w:color w:val="000000" w:themeColor="text1"/>
                <w:szCs w:val="20"/>
              </w:rPr>
              <w:t>.</w:t>
            </w:r>
          </w:p>
          <w:p w14:paraId="211011A8" w14:textId="3FBA1F7C" w:rsidR="000A4118" w:rsidRDefault="000A4118" w:rsidP="000A4118">
            <w:pPr>
              <w:pStyle w:val="ListParagraph"/>
              <w:numPr>
                <w:ilvl w:val="0"/>
                <w:numId w:val="22"/>
              </w:numPr>
              <w:jc w:val="left"/>
              <w:rPr>
                <w:rFonts w:cs="Arial"/>
                <w:color w:val="000000" w:themeColor="text1"/>
                <w:szCs w:val="20"/>
              </w:rPr>
            </w:pPr>
            <w:r w:rsidRPr="000A4118">
              <w:rPr>
                <w:rFonts w:cs="Arial"/>
                <w:color w:val="000000" w:themeColor="text1"/>
                <w:szCs w:val="20"/>
              </w:rPr>
              <w:t>Sodexo strategy for organic growth (existing</w:t>
            </w:r>
            <w:r w:rsidR="00F856EC">
              <w:rPr>
                <w:rFonts w:cs="Arial"/>
                <w:color w:val="000000" w:themeColor="text1"/>
                <w:szCs w:val="20"/>
              </w:rPr>
              <w:t xml:space="preserve"> </w:t>
            </w:r>
            <w:r w:rsidRPr="000A4118">
              <w:rPr>
                <w:rFonts w:cs="Arial"/>
                <w:color w:val="000000" w:themeColor="text1"/>
                <w:szCs w:val="20"/>
              </w:rPr>
              <w:t>/</w:t>
            </w:r>
            <w:r w:rsidR="00F856EC">
              <w:rPr>
                <w:rFonts w:cs="Arial"/>
                <w:color w:val="000000" w:themeColor="text1"/>
                <w:szCs w:val="20"/>
              </w:rPr>
              <w:t xml:space="preserve"> </w:t>
            </w:r>
            <w:r w:rsidRPr="000A4118">
              <w:rPr>
                <w:rFonts w:cs="Arial"/>
                <w:color w:val="000000" w:themeColor="text1"/>
                <w:szCs w:val="20"/>
              </w:rPr>
              <w:t>new contracts) requires efficient management of employment law risks and resources</w:t>
            </w:r>
            <w:r w:rsidR="00695C06">
              <w:rPr>
                <w:rFonts w:cs="Arial"/>
                <w:color w:val="000000" w:themeColor="text1"/>
                <w:szCs w:val="20"/>
              </w:rPr>
              <w:t>.</w:t>
            </w:r>
          </w:p>
          <w:p w14:paraId="3630A085" w14:textId="41A30CE9" w:rsidR="00DD7E9A" w:rsidRDefault="00DD7E9A" w:rsidP="000A4118">
            <w:pPr>
              <w:pStyle w:val="ListParagraph"/>
              <w:numPr>
                <w:ilvl w:val="0"/>
                <w:numId w:val="22"/>
              </w:numPr>
              <w:jc w:val="left"/>
              <w:rPr>
                <w:rFonts w:cs="Arial"/>
                <w:color w:val="000000" w:themeColor="text1"/>
                <w:szCs w:val="20"/>
              </w:rPr>
            </w:pPr>
            <w:r>
              <w:rPr>
                <w:rFonts w:cs="Arial"/>
                <w:color w:val="000000" w:themeColor="text1"/>
                <w:szCs w:val="20"/>
              </w:rPr>
              <w:t>Working with and exposure to senior executives.</w:t>
            </w:r>
          </w:p>
          <w:p w14:paraId="53221241" w14:textId="3A694308" w:rsidR="000A4118" w:rsidRPr="000A4118" w:rsidRDefault="000A4118" w:rsidP="000A4118">
            <w:pPr>
              <w:pStyle w:val="ListParagraph"/>
              <w:numPr>
                <w:ilvl w:val="0"/>
                <w:numId w:val="22"/>
              </w:numPr>
              <w:jc w:val="left"/>
              <w:rPr>
                <w:rFonts w:cs="Arial"/>
                <w:color w:val="000000" w:themeColor="text1"/>
                <w:szCs w:val="20"/>
              </w:rPr>
            </w:pPr>
            <w:r w:rsidRPr="000A4118">
              <w:rPr>
                <w:rFonts w:cs="Arial"/>
                <w:color w:val="000000" w:themeColor="text1"/>
                <w:szCs w:val="20"/>
              </w:rPr>
              <w:t>Sustained pressure on SG&amp;A costs</w:t>
            </w:r>
            <w:r w:rsidR="00695C06">
              <w:rPr>
                <w:rFonts w:cs="Arial"/>
                <w:color w:val="000000" w:themeColor="text1"/>
                <w:szCs w:val="20"/>
              </w:rPr>
              <w:t>.</w:t>
            </w:r>
          </w:p>
          <w:p w14:paraId="6A092E1B" w14:textId="6C4101D9" w:rsidR="000A4118" w:rsidRPr="000A4118" w:rsidRDefault="00F856EC" w:rsidP="000A4118">
            <w:pPr>
              <w:pStyle w:val="ListParagraph"/>
              <w:numPr>
                <w:ilvl w:val="0"/>
                <w:numId w:val="22"/>
              </w:numPr>
              <w:jc w:val="left"/>
              <w:rPr>
                <w:rFonts w:cs="Arial"/>
                <w:color w:val="000000" w:themeColor="text1"/>
                <w:szCs w:val="20"/>
              </w:rPr>
            </w:pPr>
            <w:r>
              <w:rPr>
                <w:rFonts w:cs="Arial"/>
                <w:color w:val="000000" w:themeColor="text1"/>
                <w:szCs w:val="20"/>
              </w:rPr>
              <w:t>Challenging</w:t>
            </w:r>
            <w:r w:rsidR="000A4118" w:rsidRPr="000A4118">
              <w:rPr>
                <w:rFonts w:cs="Arial"/>
                <w:color w:val="000000" w:themeColor="text1"/>
                <w:szCs w:val="20"/>
              </w:rPr>
              <w:t xml:space="preserve"> economic / competitive climate</w:t>
            </w:r>
            <w:r w:rsidR="00695C06">
              <w:rPr>
                <w:rFonts w:cs="Arial"/>
                <w:color w:val="000000" w:themeColor="text1"/>
                <w:szCs w:val="20"/>
              </w:rPr>
              <w:t>.</w:t>
            </w:r>
          </w:p>
          <w:p w14:paraId="3376BADB" w14:textId="77777777" w:rsidR="000A4118" w:rsidRDefault="000A4118" w:rsidP="000A4118">
            <w:pPr>
              <w:pStyle w:val="ListParagraph"/>
              <w:ind w:left="360"/>
              <w:jc w:val="left"/>
              <w:rPr>
                <w:rFonts w:cs="Arial"/>
                <w:color w:val="000000" w:themeColor="text1"/>
                <w:szCs w:val="20"/>
              </w:rPr>
            </w:pP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679C0B53" w:rsidR="00D87CC8" w:rsidRPr="00F856EC" w:rsidRDefault="00F856EC" w:rsidP="00E42162">
            <w:pPr>
              <w:pStyle w:val="ListParagraph"/>
              <w:numPr>
                <w:ilvl w:val="0"/>
                <w:numId w:val="24"/>
              </w:numPr>
              <w:jc w:val="left"/>
              <w:rPr>
                <w:rFonts w:cs="Arial"/>
                <w:b/>
                <w:color w:val="000000" w:themeColor="text1"/>
                <w:szCs w:val="20"/>
              </w:rPr>
            </w:pPr>
            <w:r>
              <w:rPr>
                <w:rFonts w:cs="Arial"/>
                <w:szCs w:val="20"/>
              </w:rPr>
              <w:t>Positive client feedback (through appraisal process) in all areas of work.</w:t>
            </w:r>
          </w:p>
          <w:p w14:paraId="0F82E9B6" w14:textId="686B4A6A" w:rsidR="00F856EC" w:rsidRPr="00912B7B" w:rsidRDefault="00F856EC" w:rsidP="00E42162">
            <w:pPr>
              <w:pStyle w:val="ListParagraph"/>
              <w:numPr>
                <w:ilvl w:val="0"/>
                <w:numId w:val="24"/>
              </w:numPr>
              <w:jc w:val="left"/>
              <w:rPr>
                <w:rFonts w:cs="Arial"/>
                <w:b/>
                <w:color w:val="000000" w:themeColor="text1"/>
                <w:szCs w:val="20"/>
              </w:rPr>
            </w:pPr>
            <w:r>
              <w:rPr>
                <w:rFonts w:cs="Arial"/>
                <w:szCs w:val="20"/>
              </w:rPr>
              <w:t>Positive impact on litigation results through successful management of early conciliations.</w:t>
            </w:r>
          </w:p>
          <w:p w14:paraId="0DB6AA0A" w14:textId="4C840760" w:rsidR="00D87CC8" w:rsidRPr="00912B7B" w:rsidRDefault="00F856EC" w:rsidP="00E42162">
            <w:pPr>
              <w:pStyle w:val="ListParagraph"/>
              <w:numPr>
                <w:ilvl w:val="0"/>
                <w:numId w:val="24"/>
              </w:numPr>
              <w:jc w:val="left"/>
              <w:rPr>
                <w:rFonts w:cs="Arial"/>
                <w:b/>
                <w:color w:val="000000" w:themeColor="text1"/>
                <w:szCs w:val="20"/>
              </w:rPr>
            </w:pPr>
            <w:r>
              <w:rPr>
                <w:rFonts w:cs="Arial"/>
                <w:szCs w:val="20"/>
              </w:rPr>
              <w:t>Legal training delivered.</w:t>
            </w:r>
          </w:p>
          <w:p w14:paraId="33A60764" w14:textId="76F91413" w:rsidR="00D87CC8" w:rsidRPr="00912B7B" w:rsidRDefault="00F856EC" w:rsidP="00E42162">
            <w:pPr>
              <w:pStyle w:val="ListParagraph"/>
              <w:numPr>
                <w:ilvl w:val="0"/>
                <w:numId w:val="24"/>
              </w:numPr>
              <w:jc w:val="left"/>
              <w:rPr>
                <w:rFonts w:cs="Arial"/>
                <w:b/>
                <w:color w:val="000000" w:themeColor="text1"/>
                <w:szCs w:val="20"/>
              </w:rPr>
            </w:pPr>
            <w:r>
              <w:rPr>
                <w:rFonts w:cs="Arial"/>
                <w:szCs w:val="20"/>
              </w:rPr>
              <w:t>Well managed external counsel.</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7FE1A5C7" w14:textId="29B6DF2A" w:rsidR="0095128F" w:rsidRPr="00F856EC" w:rsidRDefault="00F856EC" w:rsidP="00F856EC">
            <w:pPr>
              <w:pStyle w:val="ListParagraph"/>
              <w:numPr>
                <w:ilvl w:val="0"/>
                <w:numId w:val="22"/>
              </w:numPr>
              <w:jc w:val="left"/>
              <w:rPr>
                <w:rFonts w:cs="Arial"/>
                <w:color w:val="000000" w:themeColor="text1"/>
                <w:szCs w:val="20"/>
              </w:rPr>
            </w:pPr>
            <w:r>
              <w:rPr>
                <w:rFonts w:cs="Arial"/>
                <w:color w:val="000000" w:themeColor="text1"/>
                <w:szCs w:val="20"/>
              </w:rPr>
              <w:t>Volumes N/A – vary due to business demand.</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281CB0A8" w14:textId="12D34178" w:rsidR="00DD7E9A" w:rsidRPr="00DD7E9A" w:rsidRDefault="00DD7E9A" w:rsidP="00DD7E9A">
            <w:pPr>
              <w:pStyle w:val="ListParagraph"/>
              <w:numPr>
                <w:ilvl w:val="0"/>
                <w:numId w:val="24"/>
              </w:numPr>
              <w:jc w:val="left"/>
              <w:rPr>
                <w:rFonts w:cs="Arial"/>
                <w:color w:val="000000" w:themeColor="text1"/>
                <w:szCs w:val="20"/>
              </w:rPr>
            </w:pPr>
            <w:r w:rsidRPr="00DD7E9A">
              <w:rPr>
                <w:rFonts w:cs="Arial"/>
                <w:color w:val="000000" w:themeColor="text1"/>
                <w:szCs w:val="20"/>
              </w:rPr>
              <w:t>Educated to degree level or equivalent</w:t>
            </w:r>
            <w:r w:rsidR="00C1345D">
              <w:rPr>
                <w:rFonts w:cs="Arial"/>
                <w:color w:val="000000" w:themeColor="text1"/>
                <w:szCs w:val="20"/>
              </w:rPr>
              <w:t>.</w:t>
            </w:r>
          </w:p>
          <w:p w14:paraId="6FB1D560" w14:textId="3BB50CEA" w:rsidR="00DD7E9A" w:rsidRPr="00DD7E9A" w:rsidRDefault="00DD7E9A" w:rsidP="00DD7E9A">
            <w:pPr>
              <w:pStyle w:val="ListParagraph"/>
              <w:numPr>
                <w:ilvl w:val="0"/>
                <w:numId w:val="24"/>
              </w:numPr>
              <w:jc w:val="left"/>
              <w:rPr>
                <w:rFonts w:cs="Arial"/>
                <w:color w:val="000000" w:themeColor="text1"/>
                <w:szCs w:val="20"/>
              </w:rPr>
            </w:pPr>
            <w:r w:rsidRPr="00DD7E9A">
              <w:rPr>
                <w:rFonts w:cs="Arial"/>
                <w:color w:val="000000" w:themeColor="text1"/>
                <w:szCs w:val="20"/>
              </w:rPr>
              <w:t>Qualified solicitor or barrister in the UK or equivalent jurisdiction</w:t>
            </w:r>
            <w:r w:rsidR="00C1345D">
              <w:rPr>
                <w:rFonts w:cs="Arial"/>
                <w:color w:val="000000" w:themeColor="text1"/>
                <w:szCs w:val="20"/>
              </w:rPr>
              <w:t xml:space="preserve"> with employment law experience (ideally 3 years PQE+).</w:t>
            </w:r>
          </w:p>
          <w:p w14:paraId="1453B47F" w14:textId="146E25DF" w:rsidR="00DD7E9A" w:rsidRPr="00DD7E9A" w:rsidRDefault="00DD7E9A" w:rsidP="00DD7E9A">
            <w:pPr>
              <w:pStyle w:val="ListParagraph"/>
              <w:numPr>
                <w:ilvl w:val="0"/>
                <w:numId w:val="24"/>
              </w:numPr>
              <w:jc w:val="left"/>
              <w:rPr>
                <w:rFonts w:cs="Arial"/>
                <w:color w:val="000000" w:themeColor="text1"/>
                <w:szCs w:val="20"/>
              </w:rPr>
            </w:pPr>
            <w:r w:rsidRPr="00DD7E9A">
              <w:rPr>
                <w:rFonts w:cs="Arial"/>
                <w:color w:val="000000" w:themeColor="text1"/>
                <w:szCs w:val="20"/>
              </w:rPr>
              <w:t>Broad knowledge and experience of employment law and practice</w:t>
            </w:r>
            <w:r w:rsidR="00C1345D">
              <w:rPr>
                <w:rFonts w:cs="Arial"/>
                <w:color w:val="000000" w:themeColor="text1"/>
                <w:szCs w:val="20"/>
              </w:rPr>
              <w:t>.</w:t>
            </w:r>
          </w:p>
          <w:p w14:paraId="6A401FE9" w14:textId="60AFAA76" w:rsidR="00DD7E9A" w:rsidRDefault="00DD7E9A" w:rsidP="00DD7E9A">
            <w:pPr>
              <w:pStyle w:val="ListParagraph"/>
              <w:numPr>
                <w:ilvl w:val="0"/>
                <w:numId w:val="24"/>
              </w:numPr>
              <w:jc w:val="left"/>
              <w:rPr>
                <w:rFonts w:cs="Arial"/>
                <w:color w:val="000000" w:themeColor="text1"/>
                <w:szCs w:val="20"/>
              </w:rPr>
            </w:pPr>
            <w:r w:rsidRPr="00DD7E9A">
              <w:rPr>
                <w:rFonts w:cs="Arial"/>
                <w:color w:val="000000" w:themeColor="text1"/>
                <w:szCs w:val="20"/>
              </w:rPr>
              <w:t>Strong skills in negotiation, drafting, legal analysis and problem resolution</w:t>
            </w:r>
            <w:r w:rsidR="00C1345D">
              <w:rPr>
                <w:rFonts w:cs="Arial"/>
                <w:color w:val="000000" w:themeColor="text1"/>
                <w:szCs w:val="20"/>
              </w:rPr>
              <w:t>.</w:t>
            </w:r>
            <w:r w:rsidRPr="00DD7E9A">
              <w:rPr>
                <w:rFonts w:cs="Arial"/>
                <w:color w:val="000000" w:themeColor="text1"/>
                <w:szCs w:val="20"/>
              </w:rPr>
              <w:t xml:space="preserve"> </w:t>
            </w:r>
          </w:p>
          <w:p w14:paraId="6AB29B96" w14:textId="0868010F" w:rsidR="00C1345D" w:rsidRPr="00DD7E9A" w:rsidRDefault="00C1345D" w:rsidP="00DD7E9A">
            <w:pPr>
              <w:pStyle w:val="ListParagraph"/>
              <w:numPr>
                <w:ilvl w:val="0"/>
                <w:numId w:val="24"/>
              </w:numPr>
              <w:jc w:val="left"/>
              <w:rPr>
                <w:rFonts w:cs="Arial"/>
                <w:color w:val="000000" w:themeColor="text1"/>
                <w:szCs w:val="20"/>
              </w:rPr>
            </w:pPr>
            <w:r>
              <w:rPr>
                <w:rFonts w:cs="Arial"/>
                <w:color w:val="000000" w:themeColor="text1"/>
                <w:szCs w:val="20"/>
              </w:rPr>
              <w:t>Ability to advise on legal and commercial options.</w:t>
            </w:r>
          </w:p>
          <w:p w14:paraId="39151B31" w14:textId="6EE367A8" w:rsidR="00DD7E9A" w:rsidRPr="00DD7E9A" w:rsidRDefault="00DD7E9A" w:rsidP="00DD7E9A">
            <w:pPr>
              <w:pStyle w:val="ListParagraph"/>
              <w:numPr>
                <w:ilvl w:val="0"/>
                <w:numId w:val="24"/>
              </w:numPr>
              <w:jc w:val="left"/>
              <w:rPr>
                <w:rFonts w:cs="Arial"/>
                <w:color w:val="000000" w:themeColor="text1"/>
                <w:szCs w:val="20"/>
              </w:rPr>
            </w:pPr>
            <w:r w:rsidRPr="00DD7E9A">
              <w:rPr>
                <w:rFonts w:cs="Arial"/>
                <w:color w:val="000000" w:themeColor="text1"/>
                <w:szCs w:val="20"/>
              </w:rPr>
              <w:t>Strong communication and interpersonal skills</w:t>
            </w:r>
            <w:r w:rsidR="00C1345D">
              <w:rPr>
                <w:rFonts w:cs="Arial"/>
                <w:color w:val="000000" w:themeColor="text1"/>
                <w:szCs w:val="20"/>
              </w:rPr>
              <w:t>.</w:t>
            </w:r>
          </w:p>
          <w:p w14:paraId="35FEBE09" w14:textId="77777777" w:rsidR="0095128F" w:rsidRPr="00A824A9" w:rsidRDefault="0095128F" w:rsidP="00DD7E9A">
            <w:pPr>
              <w:pStyle w:val="ListParagraph"/>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5C9E51F8" w14:textId="63EE1DB8" w:rsidR="006D5785" w:rsidRDefault="006D5785" w:rsidP="006D5785">
            <w:pPr>
              <w:jc w:val="left"/>
              <w:rPr>
                <w:rFonts w:cs="Arial"/>
                <w:color w:val="000000" w:themeColor="text1"/>
                <w:szCs w:val="20"/>
              </w:rPr>
            </w:pPr>
          </w:p>
          <w:p w14:paraId="7483347D" w14:textId="0E39B1E9" w:rsidR="006D5785" w:rsidRDefault="00AC701D" w:rsidP="006D5785">
            <w:pPr>
              <w:jc w:val="left"/>
              <w:rPr>
                <w:rFonts w:cs="Arial"/>
                <w:color w:val="000000" w:themeColor="text1"/>
                <w:szCs w:val="20"/>
              </w:rPr>
            </w:pPr>
            <w:r>
              <w:rPr>
                <w:rFonts w:cs="Arial"/>
                <w:noProof/>
                <w:color w:val="000000" w:themeColor="text1"/>
                <w:szCs w:val="20"/>
              </w:rPr>
              <w:drawing>
                <wp:anchor distT="0" distB="0" distL="114300" distR="114300" simplePos="0" relativeHeight="252385280" behindDoc="0" locked="0" layoutInCell="1" allowOverlap="1" wp14:anchorId="624905E2" wp14:editId="120CA623">
                  <wp:simplePos x="0" y="0"/>
                  <wp:positionH relativeFrom="column">
                    <wp:posOffset>180975</wp:posOffset>
                  </wp:positionH>
                  <wp:positionV relativeFrom="paragraph">
                    <wp:posOffset>57150</wp:posOffset>
                  </wp:positionV>
                  <wp:extent cx="3048000" cy="1193800"/>
                  <wp:effectExtent l="0" t="19050" r="0" b="63500"/>
                  <wp:wrapSquare wrapText="bothSides"/>
                  <wp:docPr id="14268965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6AB6788" w14:textId="77777777" w:rsidR="006D5785" w:rsidRDefault="006D5785" w:rsidP="006D5785">
            <w:pPr>
              <w:jc w:val="left"/>
              <w:rPr>
                <w:rFonts w:cs="Arial"/>
                <w:color w:val="000000" w:themeColor="text1"/>
                <w:szCs w:val="20"/>
              </w:rPr>
            </w:pPr>
          </w:p>
          <w:p w14:paraId="23CD748B" w14:textId="77777777" w:rsidR="00AC701D" w:rsidRDefault="00AC701D" w:rsidP="006D5785">
            <w:pPr>
              <w:jc w:val="left"/>
              <w:rPr>
                <w:rFonts w:cs="Arial"/>
                <w:color w:val="000000" w:themeColor="text1"/>
                <w:szCs w:val="20"/>
              </w:rPr>
            </w:pPr>
          </w:p>
          <w:p w14:paraId="47DB4B81" w14:textId="77777777" w:rsidR="00AC701D" w:rsidRDefault="00AC701D" w:rsidP="006D5785">
            <w:pPr>
              <w:jc w:val="left"/>
              <w:rPr>
                <w:rFonts w:cs="Arial"/>
                <w:color w:val="000000" w:themeColor="text1"/>
                <w:szCs w:val="20"/>
              </w:rPr>
            </w:pPr>
          </w:p>
          <w:p w14:paraId="0229C053" w14:textId="77777777" w:rsidR="00AC701D" w:rsidRDefault="00AC701D" w:rsidP="006D5785">
            <w:pPr>
              <w:jc w:val="left"/>
              <w:rPr>
                <w:rFonts w:cs="Arial"/>
                <w:color w:val="000000" w:themeColor="text1"/>
                <w:szCs w:val="20"/>
              </w:rPr>
            </w:pPr>
          </w:p>
          <w:p w14:paraId="755399E6" w14:textId="77777777" w:rsidR="00AC701D" w:rsidRDefault="00AC701D" w:rsidP="006D5785">
            <w:pPr>
              <w:jc w:val="left"/>
              <w:rPr>
                <w:rFonts w:cs="Arial"/>
                <w:color w:val="000000" w:themeColor="text1"/>
                <w:szCs w:val="20"/>
              </w:rPr>
            </w:pPr>
          </w:p>
          <w:p w14:paraId="0428E61F" w14:textId="77777777" w:rsidR="00AC701D" w:rsidRDefault="00AC701D" w:rsidP="006D5785">
            <w:pPr>
              <w:jc w:val="left"/>
              <w:rPr>
                <w:rFonts w:cs="Arial"/>
                <w:color w:val="000000" w:themeColor="text1"/>
                <w:szCs w:val="20"/>
              </w:rPr>
            </w:pPr>
          </w:p>
          <w:p w14:paraId="1481C60D" w14:textId="77777777" w:rsidR="00AC701D" w:rsidRDefault="00AC701D" w:rsidP="006D5785">
            <w:pPr>
              <w:jc w:val="left"/>
              <w:rPr>
                <w:rFonts w:cs="Arial"/>
                <w:color w:val="000000" w:themeColor="text1"/>
                <w:szCs w:val="20"/>
              </w:rPr>
            </w:pPr>
          </w:p>
          <w:p w14:paraId="3DDE288E" w14:textId="77777777" w:rsidR="00AC701D" w:rsidRDefault="00AC701D" w:rsidP="006D5785">
            <w:pPr>
              <w:jc w:val="left"/>
              <w:rPr>
                <w:rFonts w:cs="Arial"/>
                <w:color w:val="000000" w:themeColor="text1"/>
                <w:szCs w:val="20"/>
              </w:rPr>
            </w:pPr>
          </w:p>
          <w:p w14:paraId="191F1442" w14:textId="40BB8251" w:rsidR="00AC701D" w:rsidRPr="006D5785" w:rsidRDefault="00AC701D"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6C3A7B6F"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631353F1"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2"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3"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118"/>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1E7E"/>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1494"/>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5C06"/>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19EA"/>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D7376"/>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01D"/>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45D"/>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5E3B"/>
    <w:rsid w:val="00DD612B"/>
    <w:rsid w:val="00DD7E9A"/>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6EC"/>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rules v:ext="edit">
        <o:r id="V:Rule1" type="connector" idref="#_s2052">
          <o:proxy start="" idref="#_s2054" connectloc="0"/>
          <o:proxy end="" idref="#_s2053" connectloc="2"/>
        </o:r>
      </o:rules>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BDE65-3CD5-4F0C-AA9D-0BF54526CB8A}" type="doc">
      <dgm:prSet loTypeId="urn:microsoft.com/office/officeart/2005/8/layout/orgChart1" loCatId="hierarchy" qsTypeId="urn:microsoft.com/office/officeart/2005/8/quickstyle/simple1" qsCatId="simple" csTypeId="urn:microsoft.com/office/officeart/2005/8/colors/accent1_2" csCatId="accent1" phldr="1"/>
      <dgm:spPr/>
    </dgm:pt>
    <dgm:pt modelId="{6BD78585-E3A7-41CD-BDC8-E4BD94F47B4F}">
      <dgm:prSet custT="1"/>
      <dgm:spPr/>
      <dgm:t>
        <a:bodyPr/>
        <a:lstStyle/>
        <a:p>
          <a:pPr marR="0" algn="ctr" rtl="0"/>
          <a:r>
            <a:rPr lang="en-GB" sz="1400" b="1" i="0" u="none" strike="noStrike" kern="100" baseline="0">
              <a:latin typeface="Aptos" panose="020B0004020202020204" pitchFamily="34" charset="0"/>
            </a:rPr>
            <a:t>Assistant General Counsel, Employment</a:t>
          </a:r>
          <a:endParaRPr lang="en-GB" sz="1400"/>
        </a:p>
      </dgm:t>
    </dgm:pt>
    <dgm:pt modelId="{E0BAC254-D7B7-46A2-819F-D97D80B65731}" type="parTrans" cxnId="{68B4EFA4-C42E-4628-BC79-5D427D464A01}">
      <dgm:prSet/>
      <dgm:spPr/>
      <dgm:t>
        <a:bodyPr/>
        <a:lstStyle/>
        <a:p>
          <a:endParaRPr lang="en-GB"/>
        </a:p>
      </dgm:t>
    </dgm:pt>
    <dgm:pt modelId="{F2B22FD8-D846-4BD7-9412-4BDFCB3A920E}" type="sibTrans" cxnId="{68B4EFA4-C42E-4628-BC79-5D427D464A01}">
      <dgm:prSet/>
      <dgm:spPr/>
      <dgm:t>
        <a:bodyPr/>
        <a:lstStyle/>
        <a:p>
          <a:endParaRPr lang="en-GB"/>
        </a:p>
      </dgm:t>
    </dgm:pt>
    <dgm:pt modelId="{BBFC41B7-7D38-469D-97F9-C975205831F7}">
      <dgm:prSet custT="1"/>
      <dgm:spPr/>
      <dgm:t>
        <a:bodyPr/>
        <a:lstStyle/>
        <a:p>
          <a:pPr marR="0" algn="ctr" rtl="0"/>
          <a:r>
            <a:rPr lang="en-GB" sz="1400" b="1" i="0" u="none" strike="noStrike" kern="100" baseline="0">
              <a:latin typeface="Aptos" panose="020B0004020202020204" pitchFamily="34" charset="0"/>
            </a:rPr>
            <a:t>Legal Counsel,  Employment</a:t>
          </a:r>
          <a:endParaRPr lang="en-GB" sz="1400" i="0"/>
        </a:p>
      </dgm:t>
    </dgm:pt>
    <dgm:pt modelId="{F88A4BC5-9D0A-4ECA-9593-4CDED423460A}" type="parTrans" cxnId="{8A79315A-58C0-4D06-8488-7E6B260889E9}">
      <dgm:prSet/>
      <dgm:spPr/>
      <dgm:t>
        <a:bodyPr/>
        <a:lstStyle/>
        <a:p>
          <a:endParaRPr lang="en-GB"/>
        </a:p>
      </dgm:t>
    </dgm:pt>
    <dgm:pt modelId="{AA430FAA-D835-48FE-B3DF-D9A0E5E9AC31}" type="sibTrans" cxnId="{8A79315A-58C0-4D06-8488-7E6B260889E9}">
      <dgm:prSet/>
      <dgm:spPr/>
      <dgm:t>
        <a:bodyPr/>
        <a:lstStyle/>
        <a:p>
          <a:endParaRPr lang="en-GB"/>
        </a:p>
      </dgm:t>
    </dgm:pt>
    <dgm:pt modelId="{59EE53A1-1E81-4670-A55B-931D3124B5D8}" type="pres">
      <dgm:prSet presAssocID="{5DCBDE65-3CD5-4F0C-AA9D-0BF54526CB8A}" presName="hierChild1" presStyleCnt="0">
        <dgm:presLayoutVars>
          <dgm:orgChart val="1"/>
          <dgm:chPref val="1"/>
          <dgm:dir/>
          <dgm:animOne val="branch"/>
          <dgm:animLvl val="lvl"/>
          <dgm:resizeHandles/>
        </dgm:presLayoutVars>
      </dgm:prSet>
      <dgm:spPr/>
    </dgm:pt>
    <dgm:pt modelId="{511B9E87-B194-40BC-9B04-AF5676A7A4A5}" type="pres">
      <dgm:prSet presAssocID="{6BD78585-E3A7-41CD-BDC8-E4BD94F47B4F}" presName="hierRoot1" presStyleCnt="0">
        <dgm:presLayoutVars>
          <dgm:hierBranch/>
        </dgm:presLayoutVars>
      </dgm:prSet>
      <dgm:spPr/>
    </dgm:pt>
    <dgm:pt modelId="{73EEF799-77A9-41F3-8A71-5F76C694E4FD}" type="pres">
      <dgm:prSet presAssocID="{6BD78585-E3A7-41CD-BDC8-E4BD94F47B4F}" presName="rootComposite1" presStyleCnt="0"/>
      <dgm:spPr/>
    </dgm:pt>
    <dgm:pt modelId="{FAE6904A-A0C0-4525-883F-5567314AC120}" type="pres">
      <dgm:prSet presAssocID="{6BD78585-E3A7-41CD-BDC8-E4BD94F47B4F}" presName="rootText1" presStyleLbl="node0" presStyleIdx="0" presStyleCnt="1" custScaleX="190827">
        <dgm:presLayoutVars>
          <dgm:chPref val="3"/>
        </dgm:presLayoutVars>
      </dgm:prSet>
      <dgm:spPr/>
    </dgm:pt>
    <dgm:pt modelId="{1430501C-CC30-40BC-BA59-72D43C0B67AC}" type="pres">
      <dgm:prSet presAssocID="{6BD78585-E3A7-41CD-BDC8-E4BD94F47B4F}" presName="rootConnector1" presStyleLbl="node1" presStyleIdx="0" presStyleCnt="0"/>
      <dgm:spPr/>
    </dgm:pt>
    <dgm:pt modelId="{8719B091-2A77-4B0C-A19E-3FB1D97733AC}" type="pres">
      <dgm:prSet presAssocID="{6BD78585-E3A7-41CD-BDC8-E4BD94F47B4F}" presName="hierChild2" presStyleCnt="0"/>
      <dgm:spPr/>
    </dgm:pt>
    <dgm:pt modelId="{7D6BE7E8-6F88-4D3D-AE63-27D608C3323A}" type="pres">
      <dgm:prSet presAssocID="{F88A4BC5-9D0A-4ECA-9593-4CDED423460A}" presName="Name35" presStyleLbl="parChTrans1D2" presStyleIdx="0" presStyleCnt="1"/>
      <dgm:spPr/>
    </dgm:pt>
    <dgm:pt modelId="{BD9C5A58-0D7A-4B49-B7E9-8EE838DCC76C}" type="pres">
      <dgm:prSet presAssocID="{BBFC41B7-7D38-469D-97F9-C975205831F7}" presName="hierRoot2" presStyleCnt="0">
        <dgm:presLayoutVars>
          <dgm:hierBranch/>
        </dgm:presLayoutVars>
      </dgm:prSet>
      <dgm:spPr/>
    </dgm:pt>
    <dgm:pt modelId="{48911BAE-F7BA-4ABE-93AE-7005AC055B9B}" type="pres">
      <dgm:prSet presAssocID="{BBFC41B7-7D38-469D-97F9-C975205831F7}" presName="rootComposite" presStyleCnt="0"/>
      <dgm:spPr/>
    </dgm:pt>
    <dgm:pt modelId="{C1A42A91-E665-4804-931D-814005D72834}" type="pres">
      <dgm:prSet presAssocID="{BBFC41B7-7D38-469D-97F9-C975205831F7}" presName="rootText" presStyleLbl="node2" presStyleIdx="0" presStyleCnt="1" custScaleX="189732">
        <dgm:presLayoutVars>
          <dgm:chPref val="3"/>
        </dgm:presLayoutVars>
      </dgm:prSet>
      <dgm:spPr/>
    </dgm:pt>
    <dgm:pt modelId="{181453C0-E798-42C8-BE1E-2BDEB3B35CC0}" type="pres">
      <dgm:prSet presAssocID="{BBFC41B7-7D38-469D-97F9-C975205831F7}" presName="rootConnector" presStyleLbl="node2" presStyleIdx="0" presStyleCnt="1"/>
      <dgm:spPr/>
    </dgm:pt>
    <dgm:pt modelId="{C152692A-A7E0-4FB6-A569-9B88F1449488}" type="pres">
      <dgm:prSet presAssocID="{BBFC41B7-7D38-469D-97F9-C975205831F7}" presName="hierChild4" presStyleCnt="0"/>
      <dgm:spPr/>
    </dgm:pt>
    <dgm:pt modelId="{8D695C0C-E2EB-4F6D-A66D-853F6D60E343}" type="pres">
      <dgm:prSet presAssocID="{BBFC41B7-7D38-469D-97F9-C975205831F7}" presName="hierChild5" presStyleCnt="0"/>
      <dgm:spPr/>
    </dgm:pt>
    <dgm:pt modelId="{048ED24B-20B0-4DC2-8AA9-CF770141BB28}" type="pres">
      <dgm:prSet presAssocID="{6BD78585-E3A7-41CD-BDC8-E4BD94F47B4F}" presName="hierChild3" presStyleCnt="0"/>
      <dgm:spPr/>
    </dgm:pt>
  </dgm:ptLst>
  <dgm:cxnLst>
    <dgm:cxn modelId="{FB77A479-7B23-4DD2-872B-0BB2471927B2}" type="presOf" srcId="{F88A4BC5-9D0A-4ECA-9593-4CDED423460A}" destId="{7D6BE7E8-6F88-4D3D-AE63-27D608C3323A}" srcOrd="0" destOrd="0" presId="urn:microsoft.com/office/officeart/2005/8/layout/orgChart1"/>
    <dgm:cxn modelId="{8A79315A-58C0-4D06-8488-7E6B260889E9}" srcId="{6BD78585-E3A7-41CD-BDC8-E4BD94F47B4F}" destId="{BBFC41B7-7D38-469D-97F9-C975205831F7}" srcOrd="0" destOrd="0" parTransId="{F88A4BC5-9D0A-4ECA-9593-4CDED423460A}" sibTransId="{AA430FAA-D835-48FE-B3DF-D9A0E5E9AC31}"/>
    <dgm:cxn modelId="{68B4EFA4-C42E-4628-BC79-5D427D464A01}" srcId="{5DCBDE65-3CD5-4F0C-AA9D-0BF54526CB8A}" destId="{6BD78585-E3A7-41CD-BDC8-E4BD94F47B4F}" srcOrd="0" destOrd="0" parTransId="{E0BAC254-D7B7-46A2-819F-D97D80B65731}" sibTransId="{F2B22FD8-D846-4BD7-9412-4BDFCB3A920E}"/>
    <dgm:cxn modelId="{6D2FE6B1-80B8-4A53-84AB-447F66BE989A}" type="presOf" srcId="{BBFC41B7-7D38-469D-97F9-C975205831F7}" destId="{181453C0-E798-42C8-BE1E-2BDEB3B35CC0}" srcOrd="1" destOrd="0" presId="urn:microsoft.com/office/officeart/2005/8/layout/orgChart1"/>
    <dgm:cxn modelId="{3D09DBBA-1F91-41B1-98C1-AECD65EFBA91}" type="presOf" srcId="{6BD78585-E3A7-41CD-BDC8-E4BD94F47B4F}" destId="{1430501C-CC30-40BC-BA59-72D43C0B67AC}" srcOrd="1" destOrd="0" presId="urn:microsoft.com/office/officeart/2005/8/layout/orgChart1"/>
    <dgm:cxn modelId="{B849D0C0-28B7-4F25-93DF-79DAA624F388}" type="presOf" srcId="{5DCBDE65-3CD5-4F0C-AA9D-0BF54526CB8A}" destId="{59EE53A1-1E81-4670-A55B-931D3124B5D8}" srcOrd="0" destOrd="0" presId="urn:microsoft.com/office/officeart/2005/8/layout/orgChart1"/>
    <dgm:cxn modelId="{9EA8B2C3-35A8-43CE-A1A5-7358A8DCC946}" type="presOf" srcId="{6BD78585-E3A7-41CD-BDC8-E4BD94F47B4F}" destId="{FAE6904A-A0C0-4525-883F-5567314AC120}" srcOrd="0" destOrd="0" presId="urn:microsoft.com/office/officeart/2005/8/layout/orgChart1"/>
    <dgm:cxn modelId="{3B2088D4-DE98-4FE9-8758-DD922644583D}" type="presOf" srcId="{BBFC41B7-7D38-469D-97F9-C975205831F7}" destId="{C1A42A91-E665-4804-931D-814005D72834}" srcOrd="0" destOrd="0" presId="urn:microsoft.com/office/officeart/2005/8/layout/orgChart1"/>
    <dgm:cxn modelId="{E6C604DB-D14C-4C20-BB85-FC7CE10671EF}" type="presParOf" srcId="{59EE53A1-1E81-4670-A55B-931D3124B5D8}" destId="{511B9E87-B194-40BC-9B04-AF5676A7A4A5}" srcOrd="0" destOrd="0" presId="urn:microsoft.com/office/officeart/2005/8/layout/orgChart1"/>
    <dgm:cxn modelId="{1FC141EA-7FB1-4A10-8A76-F3F5C2128D9D}" type="presParOf" srcId="{511B9E87-B194-40BC-9B04-AF5676A7A4A5}" destId="{73EEF799-77A9-41F3-8A71-5F76C694E4FD}" srcOrd="0" destOrd="0" presId="urn:microsoft.com/office/officeart/2005/8/layout/orgChart1"/>
    <dgm:cxn modelId="{42111CAA-FDAD-478F-8F37-3C44DA2EA780}" type="presParOf" srcId="{73EEF799-77A9-41F3-8A71-5F76C694E4FD}" destId="{FAE6904A-A0C0-4525-883F-5567314AC120}" srcOrd="0" destOrd="0" presId="urn:microsoft.com/office/officeart/2005/8/layout/orgChart1"/>
    <dgm:cxn modelId="{A112D471-9FDC-4124-B754-1D8FD21001BA}" type="presParOf" srcId="{73EEF799-77A9-41F3-8A71-5F76C694E4FD}" destId="{1430501C-CC30-40BC-BA59-72D43C0B67AC}" srcOrd="1" destOrd="0" presId="urn:microsoft.com/office/officeart/2005/8/layout/orgChart1"/>
    <dgm:cxn modelId="{7DC9FF9F-BEE6-4290-846C-62F18654B52A}" type="presParOf" srcId="{511B9E87-B194-40BC-9B04-AF5676A7A4A5}" destId="{8719B091-2A77-4B0C-A19E-3FB1D97733AC}" srcOrd="1" destOrd="0" presId="urn:microsoft.com/office/officeart/2005/8/layout/orgChart1"/>
    <dgm:cxn modelId="{87246E0E-F93F-4BD8-897D-05080DD021E0}" type="presParOf" srcId="{8719B091-2A77-4B0C-A19E-3FB1D97733AC}" destId="{7D6BE7E8-6F88-4D3D-AE63-27D608C3323A}" srcOrd="0" destOrd="0" presId="urn:microsoft.com/office/officeart/2005/8/layout/orgChart1"/>
    <dgm:cxn modelId="{0DC82222-988C-4D82-8B1F-69DD87316692}" type="presParOf" srcId="{8719B091-2A77-4B0C-A19E-3FB1D97733AC}" destId="{BD9C5A58-0D7A-4B49-B7E9-8EE838DCC76C}" srcOrd="1" destOrd="0" presId="urn:microsoft.com/office/officeart/2005/8/layout/orgChart1"/>
    <dgm:cxn modelId="{B4B52332-D605-4C9A-AE08-54452487F62C}" type="presParOf" srcId="{BD9C5A58-0D7A-4B49-B7E9-8EE838DCC76C}" destId="{48911BAE-F7BA-4ABE-93AE-7005AC055B9B}" srcOrd="0" destOrd="0" presId="urn:microsoft.com/office/officeart/2005/8/layout/orgChart1"/>
    <dgm:cxn modelId="{34F0F592-7C72-4E0F-A0AE-E17BA615B587}" type="presParOf" srcId="{48911BAE-F7BA-4ABE-93AE-7005AC055B9B}" destId="{C1A42A91-E665-4804-931D-814005D72834}" srcOrd="0" destOrd="0" presId="urn:microsoft.com/office/officeart/2005/8/layout/orgChart1"/>
    <dgm:cxn modelId="{BB46C764-DA68-43D2-95E7-2483F45560B7}" type="presParOf" srcId="{48911BAE-F7BA-4ABE-93AE-7005AC055B9B}" destId="{181453C0-E798-42C8-BE1E-2BDEB3B35CC0}" srcOrd="1" destOrd="0" presId="urn:microsoft.com/office/officeart/2005/8/layout/orgChart1"/>
    <dgm:cxn modelId="{64D3A46C-8861-402A-B4BD-60D10BA8F06B}" type="presParOf" srcId="{BD9C5A58-0D7A-4B49-B7E9-8EE838DCC76C}" destId="{C152692A-A7E0-4FB6-A569-9B88F1449488}" srcOrd="1" destOrd="0" presId="urn:microsoft.com/office/officeart/2005/8/layout/orgChart1"/>
    <dgm:cxn modelId="{73D33A6C-DF74-48F5-B22D-575CCAED5CC6}" type="presParOf" srcId="{BD9C5A58-0D7A-4B49-B7E9-8EE838DCC76C}" destId="{8D695C0C-E2EB-4F6D-A66D-853F6D60E343}" srcOrd="2" destOrd="0" presId="urn:microsoft.com/office/officeart/2005/8/layout/orgChart1"/>
    <dgm:cxn modelId="{304CF209-4A25-41EB-B676-FB721DD07DDC}" type="presParOf" srcId="{511B9E87-B194-40BC-9B04-AF5676A7A4A5}" destId="{048ED24B-20B0-4DC2-8AA9-CF770141BB2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6BE7E8-6F88-4D3D-AE63-27D608C3323A}">
      <dsp:nvSpPr>
        <dsp:cNvPr id="0" name=""/>
        <dsp:cNvSpPr/>
      </dsp:nvSpPr>
      <dsp:spPr>
        <a:xfrm>
          <a:off x="1478279" y="493371"/>
          <a:ext cx="91440" cy="207057"/>
        </a:xfrm>
        <a:custGeom>
          <a:avLst/>
          <a:gdLst/>
          <a:ahLst/>
          <a:cxnLst/>
          <a:rect l="0" t="0" r="0" b="0"/>
          <a:pathLst>
            <a:path>
              <a:moveTo>
                <a:pt x="45720" y="0"/>
              </a:moveTo>
              <a:lnTo>
                <a:pt x="45720" y="207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6904A-A0C0-4525-883F-5567314AC120}">
      <dsp:nvSpPr>
        <dsp:cNvPr id="0" name=""/>
        <dsp:cNvSpPr/>
      </dsp:nvSpPr>
      <dsp:spPr>
        <a:xfrm>
          <a:off x="583235" y="378"/>
          <a:ext cx="1881528" cy="492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1" i="0" u="none" strike="noStrike" kern="100" baseline="0">
              <a:latin typeface="Aptos" panose="020B0004020202020204" pitchFamily="34" charset="0"/>
            </a:rPr>
            <a:t>Assistant General Counsel, Employment</a:t>
          </a:r>
          <a:endParaRPr lang="en-GB" sz="1400"/>
        </a:p>
      </dsp:txBody>
      <dsp:txXfrm>
        <a:off x="583235" y="378"/>
        <a:ext cx="1881528" cy="492993"/>
      </dsp:txXfrm>
    </dsp:sp>
    <dsp:sp modelId="{C1A42A91-E665-4804-931D-814005D72834}">
      <dsp:nvSpPr>
        <dsp:cNvPr id="0" name=""/>
        <dsp:cNvSpPr/>
      </dsp:nvSpPr>
      <dsp:spPr>
        <a:xfrm>
          <a:off x="588634" y="700428"/>
          <a:ext cx="1870731" cy="492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1" i="0" u="none" strike="noStrike" kern="100" baseline="0">
              <a:latin typeface="Aptos" panose="020B0004020202020204" pitchFamily="34" charset="0"/>
            </a:rPr>
            <a:t>Legal Counsel,  Employment</a:t>
          </a:r>
          <a:endParaRPr lang="en-GB" sz="1400" i="0"/>
        </a:p>
      </dsp:txBody>
      <dsp:txXfrm>
        <a:off x="588634" y="700428"/>
        <a:ext cx="1870731" cy="4929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659</Words>
  <Characters>3978</Characters>
  <Application>Microsoft Office Word</Application>
  <DocSecurity>0</DocSecurity>
  <Lines>33</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Hildred, Rebecca</cp:lastModifiedBy>
  <cp:revision>8</cp:revision>
  <cp:lastPrinted>2014-08-21T13:59:00Z</cp:lastPrinted>
  <dcterms:created xsi:type="dcterms:W3CDTF">2025-04-02T14:23:00Z</dcterms:created>
  <dcterms:modified xsi:type="dcterms:W3CDTF">2025-04-02T15:26:00Z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