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9E568" w14:textId="77777777" w:rsidR="00366A73" w:rsidRDefault="00FA1A0A">
      <w:r>
        <w:rPr>
          <w:noProof/>
          <w:lang w:eastAsia="en-GB"/>
        </w:rPr>
        <mc:AlternateContent>
          <mc:Choice Requires="wps">
            <w:drawing>
              <wp:anchor distT="0" distB="0" distL="114300" distR="114300" simplePos="0" relativeHeight="251666432" behindDoc="0" locked="0" layoutInCell="1" allowOverlap="1" wp14:anchorId="0C99E650" wp14:editId="0C99E65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99E65F" w14:textId="3668FAB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414D9">
                              <w:rPr>
                                <w:color w:val="FFFFFF"/>
                                <w:sz w:val="44"/>
                                <w:szCs w:val="44"/>
                                <w:lang w:val="en-AU"/>
                              </w:rPr>
                              <w:t>Government Schools</w:t>
                            </w:r>
                            <w:r w:rsidR="000160DB">
                              <w:rPr>
                                <w:color w:val="FFFFFF"/>
                                <w:sz w:val="44"/>
                                <w:szCs w:val="44"/>
                                <w:lang w:val="en-AU"/>
                              </w:rPr>
                              <w:t xml:space="preserve"> Finance</w:t>
                            </w:r>
                            <w:r w:rsidR="00B414D9">
                              <w:rPr>
                                <w:color w:val="FFFFFF"/>
                                <w:sz w:val="44"/>
                                <w:szCs w:val="44"/>
                                <w:lang w:val="en-AU"/>
                              </w:rPr>
                              <w:t xml:space="preserve"> Analyst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0C99E650"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0C99E65F" w14:textId="3668FAB4"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B414D9">
                        <w:rPr>
                          <w:color w:val="FFFFFF"/>
                          <w:sz w:val="44"/>
                          <w:szCs w:val="44"/>
                          <w:lang w:val="en-AU"/>
                        </w:rPr>
                        <w:t>Government Schools</w:t>
                      </w:r>
                      <w:r w:rsidR="000160DB">
                        <w:rPr>
                          <w:color w:val="FFFFFF"/>
                          <w:sz w:val="44"/>
                          <w:szCs w:val="44"/>
                          <w:lang w:val="en-AU"/>
                        </w:rPr>
                        <w:t xml:space="preserve"> Finance</w:t>
                      </w:r>
                      <w:r w:rsidR="00B414D9">
                        <w:rPr>
                          <w:color w:val="FFFFFF"/>
                          <w:sz w:val="44"/>
                          <w:szCs w:val="44"/>
                          <w:lang w:val="en-AU"/>
                        </w:rPr>
                        <w:t xml:space="preserve"> Analyst</w:t>
                      </w:r>
                    </w:p>
                  </w:txbxContent>
                </v:textbox>
              </v:shape>
            </w:pict>
          </mc:Fallback>
        </mc:AlternateContent>
      </w:r>
      <w:r w:rsidR="00366A73" w:rsidRPr="00366A73">
        <w:rPr>
          <w:noProof/>
          <w:lang w:eastAsia="en-GB"/>
        </w:rPr>
        <w:drawing>
          <wp:anchor distT="0" distB="0" distL="114300" distR="114300" simplePos="0" relativeHeight="251665408" behindDoc="0" locked="0" layoutInCell="1" allowOverlap="1" wp14:anchorId="0C99E652" wp14:editId="0C99E653">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99E569" w14:textId="77777777" w:rsidR="00366A73" w:rsidRPr="00366A73" w:rsidRDefault="00366A73" w:rsidP="00366A73"/>
    <w:p w14:paraId="0C99E56A" w14:textId="77777777" w:rsidR="00366A73" w:rsidRPr="00366A73" w:rsidRDefault="00366A73" w:rsidP="00366A73"/>
    <w:p w14:paraId="0C99E56B" w14:textId="77777777" w:rsidR="00366A73" w:rsidRPr="00366A73" w:rsidRDefault="00366A73" w:rsidP="00366A73"/>
    <w:p w14:paraId="0C99E56C" w14:textId="77777777" w:rsidR="00366A73" w:rsidRPr="00366A73" w:rsidRDefault="00366A73" w:rsidP="00366A73"/>
    <w:p w14:paraId="0C99E56D" w14:textId="77777777" w:rsidR="00366A73" w:rsidRDefault="00366A73" w:rsidP="00366A73"/>
    <w:p w14:paraId="0C99E56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139"/>
        <w:gridCol w:w="567"/>
        <w:gridCol w:w="810"/>
        <w:gridCol w:w="900"/>
        <w:gridCol w:w="1260"/>
        <w:gridCol w:w="2081"/>
        <w:gridCol w:w="259"/>
        <w:gridCol w:w="970"/>
        <w:gridCol w:w="20"/>
      </w:tblGrid>
      <w:tr w:rsidR="00366A73" w:rsidRPr="00315425" w14:paraId="0C99E571" w14:textId="77777777" w:rsidTr="008B19FF">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0C99E56F"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006" w:type="dxa"/>
            <w:gridSpan w:val="9"/>
            <w:tcBorders>
              <w:top w:val="single" w:sz="4" w:space="0" w:color="auto"/>
              <w:left w:val="nil"/>
              <w:bottom w:val="dotted" w:sz="2" w:space="0" w:color="auto"/>
              <w:right w:val="single" w:sz="4" w:space="0" w:color="auto"/>
            </w:tcBorders>
            <w:vAlign w:val="center"/>
          </w:tcPr>
          <w:p w14:paraId="0C99E570" w14:textId="66B85D18" w:rsidR="00366A73" w:rsidRPr="00876EDD" w:rsidRDefault="002F64C8" w:rsidP="00161F93">
            <w:pPr>
              <w:spacing w:before="20" w:after="20"/>
              <w:jc w:val="left"/>
              <w:rPr>
                <w:rFonts w:cs="Arial"/>
                <w:color w:val="000000"/>
                <w:szCs w:val="20"/>
              </w:rPr>
            </w:pPr>
            <w:r>
              <w:rPr>
                <w:rFonts w:cs="Arial"/>
                <w:color w:val="000000"/>
                <w:szCs w:val="20"/>
              </w:rPr>
              <w:t>Finance</w:t>
            </w:r>
          </w:p>
        </w:tc>
      </w:tr>
      <w:tr w:rsidR="00366A73" w:rsidRPr="00315425" w14:paraId="0C99E574" w14:textId="77777777" w:rsidTr="008B19F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C99E572"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006" w:type="dxa"/>
            <w:gridSpan w:val="9"/>
            <w:tcBorders>
              <w:top w:val="dotted" w:sz="2" w:space="0" w:color="auto"/>
              <w:left w:val="nil"/>
              <w:bottom w:val="dotted" w:sz="2" w:space="0" w:color="auto"/>
              <w:right w:val="single" w:sz="4" w:space="0" w:color="auto"/>
            </w:tcBorders>
            <w:vAlign w:val="center"/>
          </w:tcPr>
          <w:p w14:paraId="0C99E573" w14:textId="7B638C4D" w:rsidR="00366A73" w:rsidRPr="006827AD" w:rsidRDefault="00B108FB" w:rsidP="00161F93">
            <w:pPr>
              <w:pStyle w:val="Heading2"/>
              <w:rPr>
                <w:b w:val="0"/>
                <w:szCs w:val="36"/>
                <w:lang w:val="en-CA"/>
              </w:rPr>
            </w:pPr>
            <w:r>
              <w:rPr>
                <w:b w:val="0"/>
                <w:szCs w:val="36"/>
                <w:lang w:val="en-AU"/>
              </w:rPr>
              <w:t>State</w:t>
            </w:r>
            <w:r w:rsidR="008A2666" w:rsidRPr="006827AD">
              <w:rPr>
                <w:b w:val="0"/>
                <w:szCs w:val="36"/>
                <w:lang w:val="en-AU"/>
              </w:rPr>
              <w:t xml:space="preserve"> Schools Finance Analyst</w:t>
            </w:r>
          </w:p>
        </w:tc>
      </w:tr>
      <w:tr w:rsidR="00F16D8D" w:rsidRPr="00315425" w14:paraId="0C99E577" w14:textId="77777777" w:rsidTr="008B19F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C99E575" w14:textId="77777777" w:rsidR="00F16D8D" w:rsidRPr="004860AD" w:rsidRDefault="00F16D8D" w:rsidP="00F16D8D">
            <w:pPr>
              <w:pStyle w:val="gris"/>
              <w:framePr w:hSpace="0" w:wrap="auto" w:vAnchor="margin" w:hAnchor="text" w:xAlign="left" w:yAlign="inline"/>
              <w:spacing w:before="20" w:after="20"/>
              <w:rPr>
                <w:b w:val="0"/>
              </w:rPr>
            </w:pPr>
            <w:r w:rsidRPr="004860AD">
              <w:rPr>
                <w:b w:val="0"/>
              </w:rPr>
              <w:t xml:space="preserve">Position:  </w:t>
            </w:r>
          </w:p>
        </w:tc>
        <w:tc>
          <w:tcPr>
            <w:tcW w:w="7006" w:type="dxa"/>
            <w:gridSpan w:val="9"/>
            <w:tcBorders>
              <w:top w:val="dotted" w:sz="2" w:space="0" w:color="auto"/>
              <w:left w:val="nil"/>
              <w:bottom w:val="dotted" w:sz="2" w:space="0" w:color="auto"/>
              <w:right w:val="single" w:sz="4" w:space="0" w:color="auto"/>
            </w:tcBorders>
            <w:vAlign w:val="center"/>
          </w:tcPr>
          <w:p w14:paraId="0C99E576" w14:textId="71B85714" w:rsidR="00F16D8D" w:rsidRPr="005F5C08" w:rsidRDefault="004A2D80" w:rsidP="00F16D8D">
            <w:pPr>
              <w:spacing w:before="20" w:after="20"/>
              <w:jc w:val="left"/>
              <w:rPr>
                <w:rFonts w:cs="Arial"/>
                <w:bCs/>
                <w:color w:val="000000"/>
                <w:szCs w:val="20"/>
              </w:rPr>
            </w:pPr>
            <w:r>
              <w:rPr>
                <w:rFonts w:cs="Arial"/>
              </w:rPr>
              <w:t>Commercial Finance Manager</w:t>
            </w:r>
          </w:p>
        </w:tc>
      </w:tr>
      <w:tr w:rsidR="00F16D8D" w:rsidRPr="00315425" w14:paraId="0C99E57A" w14:textId="77777777" w:rsidTr="008B19FF">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C99E578" w14:textId="4C9853C0" w:rsidR="00F16D8D" w:rsidRPr="004860AD" w:rsidRDefault="000A690E" w:rsidP="00F16D8D">
            <w:pPr>
              <w:pStyle w:val="gris"/>
              <w:framePr w:hSpace="0" w:wrap="auto" w:vAnchor="margin" w:hAnchor="text" w:xAlign="left" w:yAlign="inline"/>
              <w:spacing w:before="20" w:after="20"/>
              <w:rPr>
                <w:b w:val="0"/>
              </w:rPr>
            </w:pPr>
            <w:r>
              <w:rPr>
                <w:b w:val="0"/>
              </w:rPr>
              <w:t>Global Grade:</w:t>
            </w:r>
          </w:p>
        </w:tc>
        <w:tc>
          <w:tcPr>
            <w:tcW w:w="7006" w:type="dxa"/>
            <w:gridSpan w:val="9"/>
            <w:tcBorders>
              <w:top w:val="dotted" w:sz="2" w:space="0" w:color="auto"/>
              <w:left w:val="nil"/>
              <w:bottom w:val="dotted" w:sz="2" w:space="0" w:color="auto"/>
              <w:right w:val="single" w:sz="4" w:space="0" w:color="auto"/>
            </w:tcBorders>
            <w:shd w:val="clear" w:color="auto" w:fill="auto"/>
            <w:vAlign w:val="center"/>
          </w:tcPr>
          <w:p w14:paraId="0C99E579" w14:textId="39E395E4" w:rsidR="00F16D8D" w:rsidRPr="00876EDD" w:rsidRDefault="00E675FD" w:rsidP="00F16D8D">
            <w:pPr>
              <w:spacing w:before="20" w:after="20"/>
              <w:jc w:val="left"/>
              <w:rPr>
                <w:rFonts w:cs="Arial"/>
                <w:color w:val="000000"/>
                <w:szCs w:val="20"/>
              </w:rPr>
            </w:pPr>
            <w:r>
              <w:rPr>
                <w:rFonts w:cs="Arial"/>
                <w:color w:val="000000"/>
                <w:szCs w:val="20"/>
              </w:rPr>
              <w:t>G</w:t>
            </w:r>
            <w:r w:rsidR="00043997">
              <w:rPr>
                <w:rFonts w:cs="Arial"/>
                <w:color w:val="000000"/>
                <w:szCs w:val="20"/>
              </w:rPr>
              <w:t>2</w:t>
            </w:r>
          </w:p>
        </w:tc>
      </w:tr>
      <w:tr w:rsidR="00F16D8D" w:rsidRPr="00315425" w14:paraId="0C99E57D" w14:textId="77777777" w:rsidTr="008B19FF">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C99E57B" w14:textId="77777777" w:rsidR="00F16D8D" w:rsidRPr="004860AD" w:rsidRDefault="00F16D8D" w:rsidP="00F16D8D">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006" w:type="dxa"/>
            <w:gridSpan w:val="9"/>
            <w:tcBorders>
              <w:top w:val="dotted" w:sz="2" w:space="0" w:color="auto"/>
              <w:left w:val="nil"/>
              <w:bottom w:val="dotted" w:sz="4" w:space="0" w:color="auto"/>
              <w:right w:val="single" w:sz="4" w:space="0" w:color="auto"/>
            </w:tcBorders>
            <w:vAlign w:val="center"/>
          </w:tcPr>
          <w:p w14:paraId="0C99E57C" w14:textId="77777777" w:rsidR="00F16D8D" w:rsidRDefault="00F16D8D" w:rsidP="00F16D8D">
            <w:pPr>
              <w:spacing w:before="20" w:after="20"/>
              <w:jc w:val="left"/>
              <w:rPr>
                <w:rFonts w:cs="Arial"/>
                <w:color w:val="000000"/>
                <w:szCs w:val="20"/>
              </w:rPr>
            </w:pPr>
            <w:r>
              <w:rPr>
                <w:rFonts w:cs="Arial"/>
                <w:color w:val="000000"/>
                <w:szCs w:val="20"/>
              </w:rPr>
              <w:t>-</w:t>
            </w:r>
          </w:p>
        </w:tc>
      </w:tr>
      <w:tr w:rsidR="00F16D8D" w:rsidRPr="00315425" w14:paraId="0C99E580" w14:textId="77777777" w:rsidTr="008B19FF">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0C99E57E" w14:textId="77777777" w:rsidR="00F16D8D" w:rsidRPr="004860AD" w:rsidRDefault="00F16D8D" w:rsidP="00F16D8D">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006" w:type="dxa"/>
            <w:gridSpan w:val="9"/>
            <w:tcBorders>
              <w:top w:val="dotted" w:sz="2" w:space="0" w:color="auto"/>
              <w:left w:val="nil"/>
              <w:bottom w:val="dotted" w:sz="4" w:space="0" w:color="auto"/>
              <w:right w:val="single" w:sz="4" w:space="0" w:color="auto"/>
            </w:tcBorders>
            <w:vAlign w:val="center"/>
          </w:tcPr>
          <w:p w14:paraId="0C99E57F" w14:textId="0D0AF349" w:rsidR="00F16D8D" w:rsidRPr="00876EDD" w:rsidRDefault="00BC2854" w:rsidP="00F16D8D">
            <w:pPr>
              <w:spacing w:before="20" w:after="20"/>
              <w:jc w:val="left"/>
              <w:rPr>
                <w:rFonts w:cs="Arial"/>
                <w:color w:val="000000"/>
                <w:szCs w:val="20"/>
              </w:rPr>
            </w:pPr>
            <w:r>
              <w:rPr>
                <w:rFonts w:cs="Arial"/>
                <w:color w:val="000000"/>
                <w:szCs w:val="20"/>
              </w:rPr>
              <w:t>Head of Finance State Schools</w:t>
            </w:r>
          </w:p>
        </w:tc>
      </w:tr>
      <w:tr w:rsidR="00F16D8D" w:rsidRPr="00315425" w14:paraId="0C99E583" w14:textId="77777777" w:rsidTr="008B19FF">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0C99E581" w14:textId="77777777" w:rsidR="00F16D8D" w:rsidRPr="004860AD" w:rsidRDefault="00F16D8D" w:rsidP="00F16D8D">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006" w:type="dxa"/>
            <w:gridSpan w:val="9"/>
            <w:tcBorders>
              <w:top w:val="dotted" w:sz="4" w:space="0" w:color="auto"/>
              <w:left w:val="nil"/>
              <w:bottom w:val="dotted" w:sz="4" w:space="0" w:color="auto"/>
              <w:right w:val="single" w:sz="4" w:space="0" w:color="auto"/>
            </w:tcBorders>
            <w:vAlign w:val="center"/>
          </w:tcPr>
          <w:p w14:paraId="0C99E582" w14:textId="63E5ED8D" w:rsidR="00F16D8D" w:rsidRDefault="00F16D8D" w:rsidP="00F16D8D">
            <w:pPr>
              <w:spacing w:before="20" w:after="20"/>
              <w:jc w:val="left"/>
              <w:rPr>
                <w:rFonts w:cs="Arial"/>
                <w:color w:val="000000"/>
                <w:szCs w:val="20"/>
              </w:rPr>
            </w:pPr>
          </w:p>
        </w:tc>
      </w:tr>
      <w:tr w:rsidR="00F16D8D" w:rsidRPr="00315425" w14:paraId="0C99E586" w14:textId="77777777" w:rsidTr="008B19FF">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0C99E584" w14:textId="77777777" w:rsidR="00F16D8D" w:rsidRPr="004860AD" w:rsidRDefault="00F16D8D" w:rsidP="00F16D8D">
            <w:pPr>
              <w:pStyle w:val="gris"/>
              <w:framePr w:hSpace="0" w:wrap="auto" w:vAnchor="margin" w:hAnchor="text" w:xAlign="left" w:yAlign="inline"/>
              <w:spacing w:before="20" w:after="20"/>
              <w:rPr>
                <w:b w:val="0"/>
              </w:rPr>
            </w:pPr>
            <w:r w:rsidRPr="004860AD">
              <w:rPr>
                <w:b w:val="0"/>
              </w:rPr>
              <w:t>Position location</w:t>
            </w:r>
            <w:r>
              <w:rPr>
                <w:b w:val="0"/>
              </w:rPr>
              <w:t>:</w:t>
            </w:r>
          </w:p>
        </w:tc>
        <w:tc>
          <w:tcPr>
            <w:tcW w:w="7006" w:type="dxa"/>
            <w:gridSpan w:val="9"/>
            <w:tcBorders>
              <w:top w:val="dotted" w:sz="4" w:space="0" w:color="auto"/>
              <w:left w:val="nil"/>
              <w:bottom w:val="single" w:sz="4" w:space="0" w:color="auto"/>
              <w:right w:val="single" w:sz="4" w:space="0" w:color="auto"/>
            </w:tcBorders>
            <w:vAlign w:val="center"/>
          </w:tcPr>
          <w:p w14:paraId="0C99E585" w14:textId="7823DF14" w:rsidR="00F16D8D" w:rsidRDefault="00F44097" w:rsidP="00F16D8D">
            <w:pPr>
              <w:spacing w:before="20" w:after="20"/>
              <w:jc w:val="left"/>
              <w:rPr>
                <w:rFonts w:cs="Arial"/>
                <w:color w:val="000000"/>
                <w:szCs w:val="20"/>
              </w:rPr>
            </w:pPr>
            <w:r>
              <w:rPr>
                <w:rFonts w:cs="Arial"/>
                <w:color w:val="000000"/>
                <w:szCs w:val="20"/>
              </w:rPr>
              <w:t>Home</w:t>
            </w:r>
            <w:r w:rsidR="0075202D">
              <w:rPr>
                <w:rFonts w:cs="Arial"/>
                <w:color w:val="000000"/>
                <w:szCs w:val="20"/>
              </w:rPr>
              <w:t xml:space="preserve"> </w:t>
            </w:r>
            <w:r w:rsidR="00861B93">
              <w:rPr>
                <w:rFonts w:cs="Arial"/>
                <w:color w:val="000000"/>
                <w:szCs w:val="20"/>
              </w:rPr>
              <w:t xml:space="preserve">/ </w:t>
            </w:r>
            <w:r>
              <w:rPr>
                <w:rFonts w:cs="Arial"/>
                <w:color w:val="000000"/>
                <w:szCs w:val="20"/>
              </w:rPr>
              <w:t>office h</w:t>
            </w:r>
            <w:r w:rsidR="00861B93">
              <w:rPr>
                <w:rFonts w:cs="Arial"/>
                <w:color w:val="000000"/>
                <w:szCs w:val="20"/>
              </w:rPr>
              <w:t xml:space="preserve">ybrid </w:t>
            </w:r>
            <w:r w:rsidR="0075202D">
              <w:rPr>
                <w:rFonts w:cs="Arial"/>
                <w:color w:val="000000"/>
                <w:szCs w:val="20"/>
              </w:rPr>
              <w:t>(plus travel as required)</w:t>
            </w:r>
            <w:r w:rsidR="00F16D8D">
              <w:rPr>
                <w:rFonts w:cs="Arial"/>
                <w:color w:val="000000"/>
                <w:szCs w:val="20"/>
              </w:rPr>
              <w:t xml:space="preserve"> </w:t>
            </w:r>
          </w:p>
        </w:tc>
      </w:tr>
      <w:tr w:rsidR="00F16D8D" w:rsidRPr="00315425" w14:paraId="0C99E589" w14:textId="77777777" w:rsidTr="008B19FF">
        <w:trPr>
          <w:gridAfter w:val="1"/>
          <w:wAfter w:w="20" w:type="dxa"/>
        </w:trPr>
        <w:tc>
          <w:tcPr>
            <w:tcW w:w="10244" w:type="dxa"/>
            <w:gridSpan w:val="12"/>
            <w:tcBorders>
              <w:top w:val="single" w:sz="2" w:space="0" w:color="auto"/>
              <w:left w:val="nil"/>
              <w:bottom w:val="single" w:sz="2" w:space="0" w:color="auto"/>
              <w:right w:val="nil"/>
            </w:tcBorders>
          </w:tcPr>
          <w:p w14:paraId="0C99E587" w14:textId="77777777" w:rsidR="00F16D8D" w:rsidRDefault="00F16D8D" w:rsidP="00F16D8D">
            <w:pPr>
              <w:jc w:val="left"/>
              <w:rPr>
                <w:rFonts w:cs="Arial"/>
                <w:sz w:val="10"/>
                <w:szCs w:val="20"/>
              </w:rPr>
            </w:pPr>
          </w:p>
          <w:p w14:paraId="0C99E588" w14:textId="77777777" w:rsidR="00F16D8D" w:rsidRPr="00315425" w:rsidRDefault="00F16D8D" w:rsidP="00F16D8D">
            <w:pPr>
              <w:jc w:val="left"/>
              <w:rPr>
                <w:rFonts w:cs="Arial"/>
                <w:sz w:val="10"/>
                <w:szCs w:val="20"/>
              </w:rPr>
            </w:pPr>
          </w:p>
        </w:tc>
      </w:tr>
      <w:tr w:rsidR="00F16D8D" w:rsidRPr="00315425" w14:paraId="0C99E58B" w14:textId="77777777" w:rsidTr="008B19FF">
        <w:trPr>
          <w:trHeight w:val="364"/>
        </w:trPr>
        <w:tc>
          <w:tcPr>
            <w:tcW w:w="10264"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C99E58A" w14:textId="77777777" w:rsidR="00F16D8D" w:rsidRPr="002E304F" w:rsidRDefault="00F16D8D" w:rsidP="00F16D8D">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F16D8D" w:rsidRPr="00AC039B" w14:paraId="0C99E593" w14:textId="77777777" w:rsidTr="008B19FF">
        <w:trPr>
          <w:trHeight w:val="413"/>
        </w:trPr>
        <w:tc>
          <w:tcPr>
            <w:tcW w:w="10264" w:type="dxa"/>
            <w:gridSpan w:val="13"/>
            <w:tcBorders>
              <w:top w:val="dotted" w:sz="4" w:space="0" w:color="auto"/>
              <w:left w:val="single" w:sz="4" w:space="0" w:color="auto"/>
              <w:bottom w:val="dotted" w:sz="4" w:space="0" w:color="auto"/>
              <w:right w:val="single" w:sz="2" w:space="0" w:color="auto"/>
            </w:tcBorders>
            <w:vAlign w:val="center"/>
          </w:tcPr>
          <w:p w14:paraId="517AAABA" w14:textId="77777777" w:rsidR="00135565" w:rsidRPr="00135565" w:rsidRDefault="00135565" w:rsidP="006827AD">
            <w:pPr>
              <w:pStyle w:val="Puces4"/>
              <w:ind w:left="313" w:hanging="313"/>
              <w:rPr>
                <w:color w:val="000000" w:themeColor="text1"/>
                <w:szCs w:val="20"/>
              </w:rPr>
            </w:pPr>
            <w:r w:rsidRPr="00135565">
              <w:rPr>
                <w:color w:val="000000" w:themeColor="text1"/>
                <w:szCs w:val="20"/>
              </w:rPr>
              <w:t>Commercial Leadership - providing commercial leadership across the Sub-Segment, assessing current contract performance, driving uniform best practice, growth opportunities, and optimising profit whilst minimising risk</w:t>
            </w:r>
          </w:p>
          <w:p w14:paraId="6177709A" w14:textId="2A86562C" w:rsidR="00135565" w:rsidRPr="00135565" w:rsidRDefault="00135565" w:rsidP="006827AD">
            <w:pPr>
              <w:pStyle w:val="Puces4"/>
              <w:ind w:left="313" w:hanging="313"/>
              <w:rPr>
                <w:color w:val="000000" w:themeColor="text1"/>
                <w:szCs w:val="20"/>
              </w:rPr>
            </w:pPr>
            <w:r w:rsidRPr="00135565">
              <w:rPr>
                <w:color w:val="000000" w:themeColor="text1"/>
                <w:szCs w:val="20"/>
              </w:rPr>
              <w:t>To gather, produce and analyse data within the Sub-Segment to promote high quality decision making and profitability improvement.</w:t>
            </w:r>
          </w:p>
          <w:p w14:paraId="134CBDA1" w14:textId="674F4F7F" w:rsidR="00135565" w:rsidRDefault="00135565" w:rsidP="006827AD">
            <w:pPr>
              <w:pStyle w:val="Puces4"/>
              <w:ind w:left="313" w:hanging="313"/>
              <w:rPr>
                <w:color w:val="000000" w:themeColor="text1"/>
                <w:szCs w:val="20"/>
              </w:rPr>
            </w:pPr>
            <w:r w:rsidRPr="00135565">
              <w:rPr>
                <w:color w:val="000000" w:themeColor="text1"/>
                <w:szCs w:val="20"/>
              </w:rPr>
              <w:t xml:space="preserve">To be highly focused on the strategic and commercial analysis of new opportunities and the interventions required to drive our growth in highly competitive environments whilst maintaining the focus on </w:t>
            </w:r>
            <w:r w:rsidR="00537176" w:rsidRPr="00135565">
              <w:rPr>
                <w:color w:val="000000" w:themeColor="text1"/>
                <w:szCs w:val="20"/>
              </w:rPr>
              <w:t>day-to-day</w:t>
            </w:r>
            <w:r w:rsidRPr="00135565">
              <w:rPr>
                <w:color w:val="000000" w:themeColor="text1"/>
                <w:szCs w:val="20"/>
              </w:rPr>
              <w:t xml:space="preserve"> financial performance of the business.</w:t>
            </w:r>
          </w:p>
          <w:p w14:paraId="68A9B68B" w14:textId="1A14E1D0" w:rsidR="006E0867" w:rsidRDefault="00444B6D" w:rsidP="006827AD">
            <w:pPr>
              <w:pStyle w:val="Puces4"/>
              <w:ind w:left="313" w:hanging="313"/>
              <w:rPr>
                <w:color w:val="000000" w:themeColor="text1"/>
                <w:szCs w:val="20"/>
              </w:rPr>
            </w:pPr>
            <w:r>
              <w:rPr>
                <w:color w:val="000000" w:themeColor="text1"/>
                <w:szCs w:val="20"/>
              </w:rPr>
              <w:t>Partnering Operations teams</w:t>
            </w:r>
            <w:r w:rsidR="0098540C">
              <w:rPr>
                <w:color w:val="000000" w:themeColor="text1"/>
                <w:szCs w:val="20"/>
              </w:rPr>
              <w:t>, as trusted advisor for all</w:t>
            </w:r>
            <w:r>
              <w:rPr>
                <w:color w:val="000000" w:themeColor="text1"/>
                <w:szCs w:val="20"/>
              </w:rPr>
              <w:t xml:space="preserve"> </w:t>
            </w:r>
            <w:r w:rsidRPr="00444B6D">
              <w:rPr>
                <w:color w:val="000000" w:themeColor="text1"/>
                <w:szCs w:val="20"/>
              </w:rPr>
              <w:t>financial aspects of their contract management</w:t>
            </w:r>
            <w:r w:rsidR="0098540C">
              <w:rPr>
                <w:color w:val="000000" w:themeColor="text1"/>
                <w:szCs w:val="20"/>
              </w:rPr>
              <w:t xml:space="preserve">, leading </w:t>
            </w:r>
            <w:r w:rsidRPr="00444B6D">
              <w:rPr>
                <w:color w:val="000000" w:themeColor="text1"/>
                <w:szCs w:val="20"/>
              </w:rPr>
              <w:t xml:space="preserve"> budgeting</w:t>
            </w:r>
            <w:r w:rsidR="0098540C">
              <w:rPr>
                <w:color w:val="000000" w:themeColor="text1"/>
                <w:szCs w:val="20"/>
              </w:rPr>
              <w:t xml:space="preserve"> and </w:t>
            </w:r>
            <w:r w:rsidRPr="00444B6D">
              <w:rPr>
                <w:color w:val="000000" w:themeColor="text1"/>
                <w:szCs w:val="20"/>
              </w:rPr>
              <w:t>forecasting</w:t>
            </w:r>
            <w:r w:rsidR="0098540C">
              <w:rPr>
                <w:color w:val="000000" w:themeColor="text1"/>
                <w:szCs w:val="20"/>
              </w:rPr>
              <w:t xml:space="preserve"> process</w:t>
            </w:r>
            <w:r w:rsidRPr="00444B6D">
              <w:rPr>
                <w:color w:val="000000" w:themeColor="text1"/>
                <w:szCs w:val="20"/>
              </w:rPr>
              <w:t>,</w:t>
            </w:r>
            <w:r w:rsidR="0098540C">
              <w:rPr>
                <w:color w:val="000000" w:themeColor="text1"/>
                <w:szCs w:val="20"/>
              </w:rPr>
              <w:t xml:space="preserve"> </w:t>
            </w:r>
            <w:r w:rsidR="00FF40FF">
              <w:rPr>
                <w:color w:val="000000" w:themeColor="text1"/>
                <w:szCs w:val="20"/>
              </w:rPr>
              <w:t xml:space="preserve">supporting </w:t>
            </w:r>
            <w:r w:rsidRPr="00444B6D">
              <w:rPr>
                <w:color w:val="000000" w:themeColor="text1"/>
                <w:szCs w:val="20"/>
              </w:rPr>
              <w:t>client queries</w:t>
            </w:r>
            <w:r w:rsidR="00FF40FF">
              <w:rPr>
                <w:color w:val="000000" w:themeColor="text1"/>
                <w:szCs w:val="20"/>
              </w:rPr>
              <w:t xml:space="preserve"> and</w:t>
            </w:r>
            <w:r w:rsidRPr="00444B6D">
              <w:rPr>
                <w:color w:val="000000" w:themeColor="text1"/>
                <w:szCs w:val="20"/>
              </w:rPr>
              <w:t xml:space="preserve"> technical questions</w:t>
            </w:r>
          </w:p>
          <w:p w14:paraId="353113A0" w14:textId="77777777" w:rsidR="00A03B01" w:rsidRPr="00A03B01" w:rsidRDefault="00A03B01" w:rsidP="006827AD">
            <w:pPr>
              <w:pStyle w:val="Puces4"/>
              <w:ind w:left="313" w:hanging="313"/>
              <w:rPr>
                <w:color w:val="000000" w:themeColor="text1"/>
                <w:szCs w:val="20"/>
              </w:rPr>
            </w:pPr>
            <w:r w:rsidRPr="00A03B01">
              <w:rPr>
                <w:color w:val="000000" w:themeColor="text1"/>
                <w:szCs w:val="20"/>
              </w:rPr>
              <w:t>Obtaining client variations and possible utilisation of Government funding in order to obtain equitable and profit optimising solutions with clients within the pandemic impacted environment.</w:t>
            </w:r>
          </w:p>
          <w:p w14:paraId="36CAC096" w14:textId="77777777" w:rsidR="00A03B01" w:rsidRPr="00A03B01" w:rsidRDefault="00A03B01" w:rsidP="006827AD">
            <w:pPr>
              <w:pStyle w:val="Puces4"/>
              <w:ind w:left="313" w:hanging="313"/>
              <w:rPr>
                <w:color w:val="000000" w:themeColor="text1"/>
                <w:szCs w:val="20"/>
              </w:rPr>
            </w:pPr>
            <w:r w:rsidRPr="00A03B01">
              <w:rPr>
                <w:color w:val="000000" w:themeColor="text1"/>
                <w:szCs w:val="20"/>
              </w:rPr>
              <w:t>Identifying the cause(s) of poor or sub optimal performance, developing solutions to sustainably improve performance and where required provide support in the implementation of those solutions.</w:t>
            </w:r>
          </w:p>
          <w:p w14:paraId="1B4AFDB5" w14:textId="6B9A5FF7" w:rsidR="00A03B01" w:rsidRPr="00A03B01" w:rsidRDefault="00D909FE" w:rsidP="006827AD">
            <w:pPr>
              <w:pStyle w:val="Puces4"/>
              <w:ind w:left="313" w:hanging="313"/>
              <w:rPr>
                <w:color w:val="000000" w:themeColor="text1"/>
                <w:szCs w:val="20"/>
              </w:rPr>
            </w:pPr>
            <w:r>
              <w:rPr>
                <w:color w:val="000000" w:themeColor="text1"/>
                <w:szCs w:val="20"/>
              </w:rPr>
              <w:t xml:space="preserve">Responsible for production and presentation of the </w:t>
            </w:r>
            <w:r w:rsidR="000B0B97">
              <w:rPr>
                <w:color w:val="000000" w:themeColor="text1"/>
                <w:szCs w:val="20"/>
              </w:rPr>
              <w:t xml:space="preserve">accounts to the </w:t>
            </w:r>
            <w:r w:rsidR="00C4250A">
              <w:rPr>
                <w:color w:val="000000" w:themeColor="text1"/>
                <w:szCs w:val="20"/>
              </w:rPr>
              <w:t>s</w:t>
            </w:r>
            <w:r w:rsidR="000B0B97">
              <w:rPr>
                <w:color w:val="000000" w:themeColor="text1"/>
                <w:szCs w:val="20"/>
              </w:rPr>
              <w:t>egment Finance Director.</w:t>
            </w:r>
          </w:p>
          <w:p w14:paraId="6F2459A1" w14:textId="4898C33A" w:rsidR="00A03B01" w:rsidRPr="00A03B01" w:rsidRDefault="00A03B01" w:rsidP="006827AD">
            <w:pPr>
              <w:pStyle w:val="Puces4"/>
              <w:ind w:left="313" w:hanging="313"/>
              <w:rPr>
                <w:color w:val="000000" w:themeColor="text1"/>
                <w:szCs w:val="20"/>
              </w:rPr>
            </w:pPr>
            <w:r w:rsidRPr="00A03B01">
              <w:rPr>
                <w:color w:val="000000" w:themeColor="text1"/>
                <w:szCs w:val="20"/>
              </w:rPr>
              <w:t xml:space="preserve">Engage with the wider Sodexo business to, on an ad hoc basis, contribute to </w:t>
            </w:r>
            <w:r w:rsidR="000B0B97">
              <w:rPr>
                <w:color w:val="000000" w:themeColor="text1"/>
                <w:szCs w:val="20"/>
              </w:rPr>
              <w:t xml:space="preserve">company-wide </w:t>
            </w:r>
            <w:r w:rsidRPr="00A03B01">
              <w:rPr>
                <w:color w:val="000000" w:themeColor="text1"/>
                <w:szCs w:val="20"/>
              </w:rPr>
              <w:t xml:space="preserve">projects, and  identify existing best practices that could be translated to </w:t>
            </w:r>
            <w:r w:rsidR="00C4250A">
              <w:rPr>
                <w:color w:val="000000" w:themeColor="text1"/>
                <w:szCs w:val="20"/>
              </w:rPr>
              <w:t xml:space="preserve">other </w:t>
            </w:r>
            <w:r w:rsidRPr="00A03B01">
              <w:rPr>
                <w:color w:val="000000" w:themeColor="text1"/>
                <w:szCs w:val="20"/>
              </w:rPr>
              <w:t>segment</w:t>
            </w:r>
            <w:r w:rsidR="00C4250A">
              <w:rPr>
                <w:color w:val="000000" w:themeColor="text1"/>
                <w:szCs w:val="20"/>
              </w:rPr>
              <w:t>s</w:t>
            </w:r>
          </w:p>
          <w:p w14:paraId="0C99E592" w14:textId="47C1B8B2" w:rsidR="001E6E33" w:rsidRPr="00F166A4" w:rsidRDefault="00A03B01" w:rsidP="00477E9D">
            <w:pPr>
              <w:pStyle w:val="Puces4"/>
              <w:ind w:left="313" w:hanging="313"/>
              <w:rPr>
                <w:color w:val="FF0000"/>
              </w:rPr>
            </w:pPr>
            <w:r w:rsidRPr="00A03B01">
              <w:rPr>
                <w:color w:val="000000" w:themeColor="text1"/>
                <w:szCs w:val="20"/>
              </w:rPr>
              <w:t>To provide accurate post decision/investment analysis of project work undertaken</w:t>
            </w:r>
          </w:p>
        </w:tc>
      </w:tr>
      <w:tr w:rsidR="00F16D8D" w:rsidRPr="00315425" w14:paraId="0C99E596" w14:textId="77777777" w:rsidTr="008B19FF">
        <w:trPr>
          <w:gridAfter w:val="1"/>
          <w:wAfter w:w="20" w:type="dxa"/>
        </w:trPr>
        <w:tc>
          <w:tcPr>
            <w:tcW w:w="10244" w:type="dxa"/>
            <w:gridSpan w:val="12"/>
            <w:tcBorders>
              <w:top w:val="single" w:sz="2" w:space="0" w:color="auto"/>
              <w:left w:val="nil"/>
              <w:bottom w:val="single" w:sz="2" w:space="0" w:color="auto"/>
              <w:right w:val="nil"/>
            </w:tcBorders>
          </w:tcPr>
          <w:p w14:paraId="0C99E594" w14:textId="77777777" w:rsidR="00F16D8D" w:rsidRDefault="00F16D8D" w:rsidP="00F16D8D">
            <w:pPr>
              <w:jc w:val="left"/>
              <w:rPr>
                <w:rFonts w:cs="Arial"/>
                <w:sz w:val="10"/>
                <w:szCs w:val="20"/>
              </w:rPr>
            </w:pPr>
          </w:p>
          <w:p w14:paraId="0C99E595" w14:textId="77777777" w:rsidR="00F16D8D" w:rsidRPr="00315425" w:rsidRDefault="00F16D8D" w:rsidP="00F16D8D">
            <w:pPr>
              <w:jc w:val="left"/>
              <w:rPr>
                <w:rFonts w:cs="Arial"/>
                <w:sz w:val="10"/>
                <w:szCs w:val="20"/>
              </w:rPr>
            </w:pPr>
          </w:p>
        </w:tc>
      </w:tr>
      <w:tr w:rsidR="00F16D8D" w:rsidRPr="00315425" w14:paraId="0C99E598" w14:textId="77777777" w:rsidTr="008B19FF">
        <w:trPr>
          <w:trHeight w:val="394"/>
        </w:trPr>
        <w:tc>
          <w:tcPr>
            <w:tcW w:w="10264"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0C99E597" w14:textId="14962FDC" w:rsidR="00F16D8D" w:rsidRPr="00315425" w:rsidRDefault="00F16D8D" w:rsidP="00F16D8D">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xml:space="preserve">– Point out the main figures / indicators to give </w:t>
            </w:r>
            <w:r w:rsidR="00BE3F37">
              <w:rPr>
                <w:b w:val="0"/>
                <w:sz w:val="12"/>
              </w:rPr>
              <w:t xml:space="preserve">some </w:t>
            </w:r>
            <w:r w:rsidRPr="0032583E">
              <w:rPr>
                <w:b w:val="0"/>
                <w:sz w:val="12"/>
              </w:rPr>
              <w:t>insight on the “volumes” managed by the position and/or the activity of the Department.</w:t>
            </w:r>
          </w:p>
        </w:tc>
      </w:tr>
      <w:tr w:rsidR="00F16D8D" w:rsidRPr="007C0E94" w14:paraId="0C99E5A3" w14:textId="77777777" w:rsidTr="008B19FF">
        <w:trPr>
          <w:trHeight w:val="232"/>
        </w:trPr>
        <w:tc>
          <w:tcPr>
            <w:tcW w:w="1008" w:type="dxa"/>
            <w:tcBorders>
              <w:top w:val="dotted" w:sz="2" w:space="0" w:color="auto"/>
              <w:left w:val="single" w:sz="2" w:space="0" w:color="auto"/>
              <w:right w:val="nil"/>
            </w:tcBorders>
            <w:vAlign w:val="center"/>
          </w:tcPr>
          <w:p w14:paraId="0C99E599" w14:textId="77777777" w:rsidR="00F16D8D" w:rsidRPr="007C0E94" w:rsidRDefault="00F16D8D" w:rsidP="00F16D8D">
            <w:pPr>
              <w:rPr>
                <w:sz w:val="18"/>
                <w:szCs w:val="18"/>
              </w:rPr>
            </w:pPr>
            <w:r>
              <w:rPr>
                <w:sz w:val="18"/>
                <w:szCs w:val="18"/>
              </w:rPr>
              <w:t>Coverage</w:t>
            </w:r>
          </w:p>
        </w:tc>
        <w:tc>
          <w:tcPr>
            <w:tcW w:w="630" w:type="dxa"/>
            <w:gridSpan w:val="2"/>
            <w:tcBorders>
              <w:top w:val="dotted" w:sz="2" w:space="0" w:color="auto"/>
              <w:left w:val="nil"/>
              <w:right w:val="dotted" w:sz="2" w:space="0" w:color="auto"/>
            </w:tcBorders>
            <w:vAlign w:val="center"/>
          </w:tcPr>
          <w:p w14:paraId="0C99E59A" w14:textId="77777777" w:rsidR="00F16D8D" w:rsidRPr="007C0E94" w:rsidRDefault="00F16D8D" w:rsidP="00F16D8D">
            <w:pPr>
              <w:rPr>
                <w:sz w:val="18"/>
                <w:szCs w:val="18"/>
              </w:rPr>
            </w:pPr>
          </w:p>
        </w:tc>
        <w:tc>
          <w:tcPr>
            <w:tcW w:w="1759" w:type="dxa"/>
            <w:gridSpan w:val="2"/>
            <w:tcBorders>
              <w:top w:val="dotted" w:sz="2" w:space="0" w:color="auto"/>
              <w:left w:val="dotted" w:sz="2" w:space="0" w:color="auto"/>
              <w:bottom w:val="dotted" w:sz="4" w:space="0" w:color="auto"/>
              <w:right w:val="nil"/>
            </w:tcBorders>
            <w:vAlign w:val="center"/>
          </w:tcPr>
          <w:p w14:paraId="0C99E59B" w14:textId="10BB52EF" w:rsidR="00F16D8D" w:rsidRPr="007C0E94" w:rsidRDefault="00A03B01" w:rsidP="00F16D8D">
            <w:pPr>
              <w:rPr>
                <w:sz w:val="18"/>
                <w:szCs w:val="18"/>
              </w:rPr>
            </w:pPr>
            <w:r>
              <w:rPr>
                <w:sz w:val="18"/>
                <w:szCs w:val="18"/>
              </w:rPr>
              <w:t>Revenue</w:t>
            </w:r>
          </w:p>
        </w:tc>
        <w:tc>
          <w:tcPr>
            <w:tcW w:w="567" w:type="dxa"/>
            <w:tcBorders>
              <w:top w:val="dotted" w:sz="2" w:space="0" w:color="auto"/>
              <w:left w:val="nil"/>
              <w:bottom w:val="dotted" w:sz="4" w:space="0" w:color="auto"/>
              <w:right w:val="dotted" w:sz="4" w:space="0" w:color="auto"/>
            </w:tcBorders>
            <w:vAlign w:val="center"/>
          </w:tcPr>
          <w:p w14:paraId="0C99E59C" w14:textId="46EEB8EC" w:rsidR="00F16D8D" w:rsidRPr="007C0E94" w:rsidRDefault="008B19FF" w:rsidP="008B19FF">
            <w:pPr>
              <w:ind w:right="-114"/>
              <w:rPr>
                <w:sz w:val="18"/>
                <w:szCs w:val="18"/>
              </w:rPr>
            </w:pPr>
            <w:r>
              <w:rPr>
                <w:sz w:val="18"/>
                <w:szCs w:val="18"/>
              </w:rPr>
              <w:t>£35m</w:t>
            </w:r>
          </w:p>
        </w:tc>
        <w:tc>
          <w:tcPr>
            <w:tcW w:w="810" w:type="dxa"/>
            <w:tcBorders>
              <w:top w:val="dotted" w:sz="2" w:space="0" w:color="auto"/>
              <w:left w:val="dotted" w:sz="4" w:space="0" w:color="auto"/>
              <w:right w:val="nil"/>
            </w:tcBorders>
            <w:vAlign w:val="center"/>
          </w:tcPr>
          <w:p w14:paraId="0C99E59D" w14:textId="421C03A8" w:rsidR="00F16D8D" w:rsidRPr="007C0E94" w:rsidRDefault="00F16D8D" w:rsidP="00F16D8D">
            <w:pPr>
              <w:rPr>
                <w:sz w:val="18"/>
                <w:szCs w:val="18"/>
              </w:rPr>
            </w:pPr>
          </w:p>
        </w:tc>
        <w:tc>
          <w:tcPr>
            <w:tcW w:w="900" w:type="dxa"/>
            <w:tcBorders>
              <w:top w:val="dotted" w:sz="2" w:space="0" w:color="auto"/>
              <w:left w:val="nil"/>
              <w:right w:val="nil"/>
            </w:tcBorders>
            <w:vAlign w:val="center"/>
          </w:tcPr>
          <w:p w14:paraId="0C99E59E" w14:textId="453FDABB" w:rsidR="00F16D8D" w:rsidRPr="007C0E94" w:rsidRDefault="00F16D8D" w:rsidP="00F16D8D">
            <w:pPr>
              <w:rPr>
                <w:sz w:val="18"/>
                <w:szCs w:val="18"/>
              </w:rPr>
            </w:pPr>
          </w:p>
        </w:tc>
        <w:tc>
          <w:tcPr>
            <w:tcW w:w="1260" w:type="dxa"/>
            <w:tcBorders>
              <w:top w:val="dotted" w:sz="2" w:space="0" w:color="auto"/>
              <w:left w:val="dotted" w:sz="4" w:space="0" w:color="auto"/>
              <w:right w:val="nil"/>
            </w:tcBorders>
            <w:vAlign w:val="center"/>
          </w:tcPr>
          <w:p w14:paraId="0C99E59F" w14:textId="7293D145" w:rsidR="00F16D8D" w:rsidRPr="007C0E94" w:rsidRDefault="00F16D8D" w:rsidP="00F16D8D">
            <w:pPr>
              <w:rPr>
                <w:sz w:val="18"/>
                <w:szCs w:val="18"/>
              </w:rPr>
            </w:pPr>
          </w:p>
        </w:tc>
        <w:tc>
          <w:tcPr>
            <w:tcW w:w="2081" w:type="dxa"/>
            <w:tcBorders>
              <w:top w:val="dotted" w:sz="2" w:space="0" w:color="auto"/>
              <w:left w:val="nil"/>
              <w:right w:val="dotted" w:sz="4" w:space="0" w:color="auto"/>
            </w:tcBorders>
            <w:vAlign w:val="center"/>
          </w:tcPr>
          <w:p w14:paraId="0C99E5A0" w14:textId="70226544" w:rsidR="00F16D8D" w:rsidRPr="007C0E94" w:rsidRDefault="00F16D8D" w:rsidP="00F16D8D">
            <w:pPr>
              <w:rPr>
                <w:sz w:val="18"/>
                <w:szCs w:val="18"/>
              </w:rPr>
            </w:pPr>
          </w:p>
        </w:tc>
        <w:tc>
          <w:tcPr>
            <w:tcW w:w="259" w:type="dxa"/>
            <w:tcBorders>
              <w:top w:val="dotted" w:sz="2" w:space="0" w:color="auto"/>
              <w:left w:val="dotted" w:sz="4" w:space="0" w:color="auto"/>
              <w:right w:val="nil"/>
            </w:tcBorders>
            <w:vAlign w:val="center"/>
          </w:tcPr>
          <w:p w14:paraId="0C99E5A1" w14:textId="77777777" w:rsidR="00F16D8D" w:rsidRPr="007C0E94" w:rsidRDefault="00F16D8D" w:rsidP="00F16D8D">
            <w:pPr>
              <w:rPr>
                <w:sz w:val="18"/>
                <w:szCs w:val="18"/>
              </w:rPr>
            </w:pPr>
          </w:p>
        </w:tc>
        <w:tc>
          <w:tcPr>
            <w:tcW w:w="990" w:type="dxa"/>
            <w:gridSpan w:val="2"/>
            <w:tcBorders>
              <w:top w:val="dotted" w:sz="2" w:space="0" w:color="auto"/>
              <w:left w:val="nil"/>
              <w:right w:val="single" w:sz="2" w:space="0" w:color="auto"/>
            </w:tcBorders>
            <w:vAlign w:val="center"/>
          </w:tcPr>
          <w:p w14:paraId="0C99E5A2" w14:textId="37270CCA" w:rsidR="00F16D8D" w:rsidRPr="007C0E94" w:rsidRDefault="00F16D8D" w:rsidP="00F16D8D">
            <w:pPr>
              <w:rPr>
                <w:sz w:val="18"/>
                <w:szCs w:val="18"/>
              </w:rPr>
            </w:pPr>
          </w:p>
        </w:tc>
      </w:tr>
      <w:tr w:rsidR="00F16D8D" w:rsidRPr="00FB6D69" w14:paraId="0C99E5CA" w14:textId="77777777" w:rsidTr="008B19FF">
        <w:trPr>
          <w:trHeight w:val="413"/>
        </w:trPr>
        <w:tc>
          <w:tcPr>
            <w:tcW w:w="1548" w:type="dxa"/>
            <w:gridSpan w:val="2"/>
            <w:tcBorders>
              <w:top w:val="dotted" w:sz="2" w:space="0" w:color="auto"/>
              <w:left w:val="single" w:sz="2" w:space="0" w:color="auto"/>
              <w:bottom w:val="single" w:sz="4" w:space="0" w:color="auto"/>
              <w:right w:val="nil"/>
            </w:tcBorders>
            <w:vAlign w:val="center"/>
          </w:tcPr>
          <w:p w14:paraId="0C99E5C5" w14:textId="7E319188" w:rsidR="00F16D8D" w:rsidRPr="00FB6D69" w:rsidRDefault="00F16D8D" w:rsidP="00F16D8D">
            <w:r w:rsidRPr="00FB6D69">
              <w:t xml:space="preserve"> </w:t>
            </w:r>
          </w:p>
        </w:tc>
        <w:tc>
          <w:tcPr>
            <w:tcW w:w="8716" w:type="dxa"/>
            <w:gridSpan w:val="11"/>
            <w:tcBorders>
              <w:top w:val="dotted" w:sz="4" w:space="0" w:color="auto"/>
              <w:left w:val="nil"/>
              <w:bottom w:val="single" w:sz="4" w:space="0" w:color="auto"/>
              <w:right w:val="single" w:sz="2" w:space="0" w:color="auto"/>
            </w:tcBorders>
            <w:vAlign w:val="center"/>
          </w:tcPr>
          <w:p w14:paraId="0C99E5C9" w14:textId="3EFA525E" w:rsidR="00F16D8D" w:rsidRPr="00A61AD9" w:rsidRDefault="00025BD4" w:rsidP="00BF72D9">
            <w:pPr>
              <w:spacing w:before="40" w:after="40"/>
              <w:jc w:val="left"/>
              <w:rPr>
                <w:rFonts w:cs="Arial"/>
                <w:color w:val="000000" w:themeColor="text1"/>
                <w:szCs w:val="20"/>
                <w:highlight w:val="yellow"/>
              </w:rPr>
            </w:pPr>
            <w:r w:rsidRPr="00025BD4">
              <w:rPr>
                <w:rFonts w:cs="Arial"/>
                <w:color w:val="000000" w:themeColor="text1"/>
                <w:szCs w:val="20"/>
              </w:rPr>
              <w:t xml:space="preserve">Large </w:t>
            </w:r>
            <w:r>
              <w:rPr>
                <w:rFonts w:cs="Arial"/>
                <w:color w:val="000000" w:themeColor="text1"/>
                <w:szCs w:val="20"/>
              </w:rPr>
              <w:t>portfolio of school contracts</w:t>
            </w:r>
            <w:r w:rsidR="008B19FF">
              <w:rPr>
                <w:rFonts w:cs="Arial"/>
                <w:color w:val="000000" w:themeColor="text1"/>
                <w:szCs w:val="20"/>
              </w:rPr>
              <w:t xml:space="preserve"> (c.400)</w:t>
            </w:r>
            <w:r>
              <w:rPr>
                <w:rFonts w:cs="Arial"/>
                <w:color w:val="000000" w:themeColor="text1"/>
                <w:szCs w:val="20"/>
              </w:rPr>
              <w:t xml:space="preserve">, </w:t>
            </w:r>
            <w:r w:rsidR="00503BDB">
              <w:rPr>
                <w:rFonts w:cs="Arial"/>
                <w:color w:val="000000" w:themeColor="text1"/>
                <w:szCs w:val="20"/>
              </w:rPr>
              <w:t>supporting three business areas</w:t>
            </w:r>
          </w:p>
        </w:tc>
      </w:tr>
    </w:tbl>
    <w:p w14:paraId="549C7B43" w14:textId="77777777" w:rsidR="000329F3" w:rsidRDefault="000329F3" w:rsidP="00366A73">
      <w:pPr>
        <w:rPr>
          <w:sz w:val="18"/>
        </w:rPr>
      </w:pPr>
    </w:p>
    <w:p w14:paraId="121C0691" w14:textId="77777777" w:rsidR="000329F3" w:rsidRDefault="000329F3" w:rsidP="00366A73">
      <w:pPr>
        <w:rPr>
          <w:sz w:val="18"/>
        </w:rPr>
      </w:pPr>
    </w:p>
    <w:p w14:paraId="78E0CD19" w14:textId="77777777" w:rsidR="000329F3" w:rsidRDefault="000329F3" w:rsidP="00366A73">
      <w:pPr>
        <w:rPr>
          <w:sz w:val="18"/>
        </w:rPr>
      </w:pPr>
    </w:p>
    <w:p w14:paraId="403E703C" w14:textId="77777777" w:rsidR="000329F3" w:rsidRDefault="000329F3" w:rsidP="00366A73">
      <w:pPr>
        <w:rPr>
          <w:sz w:val="18"/>
        </w:rPr>
      </w:pPr>
    </w:p>
    <w:p w14:paraId="48137CA4" w14:textId="77777777" w:rsidR="000329F3" w:rsidRDefault="000329F3" w:rsidP="00366A73">
      <w:pPr>
        <w:rPr>
          <w:sz w:val="18"/>
        </w:rPr>
      </w:pPr>
    </w:p>
    <w:p w14:paraId="013ACC63" w14:textId="77777777" w:rsidR="000329F3" w:rsidRDefault="000329F3" w:rsidP="00366A73">
      <w:pPr>
        <w:rPr>
          <w:sz w:val="18"/>
        </w:rPr>
      </w:pPr>
    </w:p>
    <w:p w14:paraId="1DE7557A" w14:textId="77777777" w:rsidR="000329F3" w:rsidRDefault="000329F3" w:rsidP="00366A73">
      <w:pPr>
        <w:rPr>
          <w:sz w:val="18"/>
        </w:rPr>
      </w:pPr>
    </w:p>
    <w:p w14:paraId="40617524" w14:textId="77777777" w:rsidR="000329F3" w:rsidRDefault="000329F3" w:rsidP="00366A73">
      <w:pPr>
        <w:rPr>
          <w:sz w:val="18"/>
        </w:rPr>
      </w:pPr>
    </w:p>
    <w:p w14:paraId="701B755A" w14:textId="77777777" w:rsidR="000329F3" w:rsidRDefault="000329F3" w:rsidP="00366A73">
      <w:pPr>
        <w:rPr>
          <w:sz w:val="18"/>
        </w:rPr>
      </w:pPr>
    </w:p>
    <w:p w14:paraId="7693C467" w14:textId="77777777" w:rsidR="000329F3" w:rsidRDefault="000329F3" w:rsidP="00366A73">
      <w:pPr>
        <w:rPr>
          <w:sz w:val="18"/>
        </w:rPr>
      </w:pPr>
    </w:p>
    <w:p w14:paraId="1BDF6EC0" w14:textId="77777777" w:rsidR="000329F3" w:rsidRDefault="000329F3" w:rsidP="00366A73">
      <w:pPr>
        <w:rPr>
          <w:sz w:val="18"/>
        </w:rPr>
      </w:pPr>
    </w:p>
    <w:p w14:paraId="0C99E5CB" w14:textId="1DE2ABA4" w:rsidR="00366A73" w:rsidRPr="006658E1" w:rsidRDefault="00FA1A0A" w:rsidP="00366A73">
      <w:pPr>
        <w:rPr>
          <w:sz w:val="18"/>
        </w:rPr>
      </w:pPr>
      <w:r>
        <w:rPr>
          <w:rFonts w:cs="Arial"/>
          <w:noProof/>
          <w:sz w:val="18"/>
          <w:lang w:eastAsia="en-GB"/>
        </w:rPr>
        <mc:AlternateContent>
          <mc:Choice Requires="wps">
            <w:drawing>
              <wp:anchor distT="0" distB="0" distL="114300" distR="114300" simplePos="0" relativeHeight="251668480" behindDoc="0" locked="0" layoutInCell="1" allowOverlap="1" wp14:anchorId="0C99E654" wp14:editId="6F46027C">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C99E66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99E654"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C99E660"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18"/>
      </w:tblGrid>
      <w:tr w:rsidR="00366A73" w:rsidRPr="00315425" w14:paraId="0C99E5CD" w14:textId="77777777" w:rsidTr="00110BFC">
        <w:trPr>
          <w:trHeight w:val="46"/>
        </w:trPr>
        <w:tc>
          <w:tcPr>
            <w:tcW w:w="10418" w:type="dxa"/>
            <w:tcBorders>
              <w:top w:val="single" w:sz="2" w:space="0" w:color="auto"/>
              <w:left w:val="single" w:sz="2" w:space="0" w:color="auto"/>
              <w:bottom w:val="dotted" w:sz="4" w:space="0" w:color="auto"/>
              <w:right w:val="single" w:sz="2" w:space="0" w:color="auto"/>
            </w:tcBorders>
            <w:shd w:val="clear" w:color="auto" w:fill="F2F2F2"/>
            <w:vAlign w:val="center"/>
          </w:tcPr>
          <w:p w14:paraId="0C99E5CC" w14:textId="77777777" w:rsidR="00366A73" w:rsidRPr="000943F3" w:rsidRDefault="00366A73" w:rsidP="00161F93">
            <w:pPr>
              <w:pStyle w:val="titregris"/>
              <w:framePr w:hSpace="0" w:wrap="auto" w:vAnchor="margin" w:hAnchor="text" w:xAlign="left" w:yAlign="inline"/>
              <w:rPr>
                <w:b w:val="0"/>
              </w:rPr>
            </w:pPr>
            <w:r w:rsidRPr="00315425">
              <w:rPr>
                <w:color w:val="FF0000"/>
              </w:rPr>
              <w:lastRenderedPageBreak/>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0C99E5D5" w14:textId="77777777" w:rsidTr="00110BFC">
        <w:trPr>
          <w:trHeight w:val="350"/>
        </w:trPr>
        <w:tc>
          <w:tcPr>
            <w:tcW w:w="10418" w:type="dxa"/>
            <w:tcBorders>
              <w:top w:val="dotted" w:sz="4" w:space="0" w:color="auto"/>
              <w:left w:val="single" w:sz="2" w:space="0" w:color="auto"/>
              <w:bottom w:val="single" w:sz="2" w:space="0" w:color="000000"/>
              <w:right w:val="single" w:sz="2" w:space="0" w:color="auto"/>
            </w:tcBorders>
          </w:tcPr>
          <w:p w14:paraId="0C99E5CE" w14:textId="6C797E7B" w:rsidR="00366A73" w:rsidRDefault="00366A73" w:rsidP="00302D57">
            <w:pPr>
              <w:spacing w:after="40"/>
              <w:rPr>
                <w:rFonts w:cs="Arial"/>
                <w:b/>
                <w:sz w:val="4"/>
                <w:szCs w:val="20"/>
              </w:rPr>
            </w:pPr>
          </w:p>
          <w:p w14:paraId="0C99E5CF" w14:textId="09F275EA" w:rsidR="00302D57" w:rsidRDefault="000329F3" w:rsidP="00302D57">
            <w:pPr>
              <w:spacing w:after="40"/>
              <w:rPr>
                <w:rFonts w:cs="Arial"/>
                <w:b/>
                <w:sz w:val="4"/>
                <w:szCs w:val="20"/>
              </w:rPr>
            </w:pPr>
            <w:r>
              <w:rPr>
                <w:rFonts w:cs="Arial"/>
                <w:noProof/>
                <w:sz w:val="10"/>
                <w:szCs w:val="20"/>
                <w:lang w:eastAsia="en-US"/>
              </w:rPr>
              <w:drawing>
                <wp:anchor distT="0" distB="0" distL="114300" distR="114300" simplePos="0" relativeHeight="251669504" behindDoc="0" locked="0" layoutInCell="1" allowOverlap="1" wp14:anchorId="5B19D3A6" wp14:editId="26EBB512">
                  <wp:simplePos x="0" y="0"/>
                  <wp:positionH relativeFrom="column">
                    <wp:posOffset>1269365</wp:posOffset>
                  </wp:positionH>
                  <wp:positionV relativeFrom="paragraph">
                    <wp:posOffset>19685</wp:posOffset>
                  </wp:positionV>
                  <wp:extent cx="3790950" cy="1400175"/>
                  <wp:effectExtent l="0" t="19050" r="0" b="28575"/>
                  <wp:wrapSquare wrapText="bothSides"/>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14:sizeRelH relativeFrom="margin">
                    <wp14:pctWidth>0</wp14:pctWidth>
                  </wp14:sizeRelH>
                  <wp14:sizeRelV relativeFrom="margin">
                    <wp14:pctHeight>0</wp14:pctHeight>
                  </wp14:sizeRelV>
                </wp:anchor>
              </w:drawing>
            </w:r>
          </w:p>
          <w:p w14:paraId="7C39F68C" w14:textId="56B44E92" w:rsidR="00477E9D" w:rsidRDefault="00477E9D" w:rsidP="00302D57">
            <w:pPr>
              <w:spacing w:after="40"/>
              <w:rPr>
                <w:rFonts w:cs="Arial"/>
                <w:b/>
                <w:sz w:val="4"/>
                <w:szCs w:val="20"/>
              </w:rPr>
            </w:pPr>
          </w:p>
          <w:p w14:paraId="4671DC89" w14:textId="19265F98" w:rsidR="00477E9D" w:rsidRDefault="00477E9D" w:rsidP="00302D57">
            <w:pPr>
              <w:spacing w:after="40"/>
              <w:rPr>
                <w:rFonts w:cs="Arial"/>
                <w:b/>
                <w:sz w:val="4"/>
                <w:szCs w:val="20"/>
              </w:rPr>
            </w:pPr>
          </w:p>
          <w:p w14:paraId="0C99E5D2" w14:textId="7BACCBE4" w:rsidR="00302D57" w:rsidRDefault="009F5A50" w:rsidP="0008117D">
            <w:pPr>
              <w:spacing w:after="40"/>
              <w:jc w:val="center"/>
              <w:rPr>
                <w:rFonts w:cs="Arial"/>
                <w:b/>
                <w:sz w:val="4"/>
                <w:szCs w:val="20"/>
              </w:rPr>
            </w:pPr>
            <w:r>
              <w:t xml:space="preserve"> </w:t>
            </w:r>
          </w:p>
          <w:p w14:paraId="0C99E5D4" w14:textId="77777777" w:rsidR="00366A73" w:rsidRPr="00D376CF" w:rsidRDefault="00366A73" w:rsidP="00366A73">
            <w:pPr>
              <w:spacing w:after="40"/>
              <w:jc w:val="center"/>
              <w:rPr>
                <w:rFonts w:cs="Arial"/>
                <w:sz w:val="14"/>
                <w:szCs w:val="20"/>
              </w:rPr>
            </w:pPr>
          </w:p>
        </w:tc>
      </w:tr>
    </w:tbl>
    <w:p w14:paraId="0C99E5D6" w14:textId="7E8D3335" w:rsidR="00366A73" w:rsidRPr="00BD640E" w:rsidRDefault="00366A73" w:rsidP="00366A73">
      <w:pPr>
        <w:jc w:val="left"/>
        <w:rPr>
          <w:rFonts w:cs="Arial"/>
          <w:vanish/>
          <w:sz w:val="16"/>
          <w:szCs w:val="20"/>
        </w:rPr>
      </w:pPr>
    </w:p>
    <w:p w14:paraId="0C99E5D7"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0C99E5D9"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0C99E5D8" w14:textId="6485752E"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xml:space="preserve">– Describe the most difficult types of problems the jobholder has to face (internal or external to </w:t>
            </w:r>
            <w:r w:rsidR="00BE3F37">
              <w:rPr>
                <w:rFonts w:cs="Arial"/>
                <w:color w:val="002060"/>
                <w:sz w:val="16"/>
                <w:szCs w:val="20"/>
                <w:shd w:val="clear" w:color="auto" w:fill="F2F2F2"/>
              </w:rPr>
              <w:t>So</w:t>
            </w:r>
            <w:r w:rsidRPr="002A2FAD">
              <w:rPr>
                <w:rFonts w:cs="Arial"/>
                <w:color w:val="002060"/>
                <w:sz w:val="16"/>
                <w:szCs w:val="20"/>
                <w:shd w:val="clear" w:color="auto" w:fill="F2F2F2"/>
              </w:rPr>
              <w:t>dexo) and/or the regulations, guidelines, practices that are to be adhered to.</w:t>
            </w:r>
          </w:p>
        </w:tc>
      </w:tr>
      <w:tr w:rsidR="00366A73" w:rsidRPr="0023730C" w14:paraId="0C99E5E3"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0C99E5E1" w14:textId="77777777" w:rsidR="00F43EC6" w:rsidRPr="00A61AD9" w:rsidRDefault="00F43EC6" w:rsidP="00F43EC6">
            <w:pPr>
              <w:pStyle w:val="ListParagraph"/>
              <w:rPr>
                <w:rFonts w:cs="Arial"/>
                <w:color w:val="000000" w:themeColor="text1"/>
                <w:sz w:val="18"/>
                <w:szCs w:val="18"/>
              </w:rPr>
            </w:pPr>
          </w:p>
          <w:p w14:paraId="099CDE74" w14:textId="14236562" w:rsidR="00007D03" w:rsidRPr="00A61AD9" w:rsidRDefault="00B330C1" w:rsidP="00007D03">
            <w:pPr>
              <w:pStyle w:val="Bulletpoints"/>
              <w:numPr>
                <w:ilvl w:val="0"/>
                <w:numId w:val="0"/>
              </w:numPr>
              <w:spacing w:before="60"/>
              <w:contextualSpacing w:val="0"/>
              <w:rPr>
                <w:sz w:val="20"/>
                <w:szCs w:val="20"/>
              </w:rPr>
            </w:pPr>
            <w:r>
              <w:rPr>
                <w:sz w:val="20"/>
                <w:szCs w:val="20"/>
              </w:rPr>
              <w:t>T</w:t>
            </w:r>
            <w:r w:rsidR="00007D03" w:rsidRPr="00A61AD9">
              <w:rPr>
                <w:sz w:val="20"/>
                <w:szCs w:val="20"/>
              </w:rPr>
              <w:t xml:space="preserve">he role will be </w:t>
            </w:r>
            <w:r>
              <w:rPr>
                <w:sz w:val="20"/>
                <w:szCs w:val="20"/>
              </w:rPr>
              <w:t>supporting the segment</w:t>
            </w:r>
            <w:r w:rsidR="009C42F2">
              <w:rPr>
                <w:sz w:val="20"/>
                <w:szCs w:val="20"/>
              </w:rPr>
              <w:t xml:space="preserve"> with the commercial risk management for a </w:t>
            </w:r>
            <w:r>
              <w:rPr>
                <w:sz w:val="20"/>
                <w:szCs w:val="20"/>
              </w:rPr>
              <w:t>large portfolio of School</w:t>
            </w:r>
            <w:r w:rsidR="009C42F2">
              <w:rPr>
                <w:sz w:val="20"/>
                <w:szCs w:val="20"/>
              </w:rPr>
              <w:t xml:space="preserve">s, as well as </w:t>
            </w:r>
            <w:r w:rsidR="00EE05B5">
              <w:rPr>
                <w:sz w:val="20"/>
                <w:szCs w:val="20"/>
              </w:rPr>
              <w:t>supporting integration of the business into standard Sodexo systems and processes</w:t>
            </w:r>
          </w:p>
          <w:p w14:paraId="620EAE81" w14:textId="77777777" w:rsidR="00007D03" w:rsidRPr="00A61AD9" w:rsidRDefault="00007D03" w:rsidP="00007D03">
            <w:pPr>
              <w:pStyle w:val="Bulletpoints"/>
              <w:numPr>
                <w:ilvl w:val="0"/>
                <w:numId w:val="0"/>
              </w:numPr>
              <w:spacing w:before="60"/>
              <w:contextualSpacing w:val="0"/>
              <w:rPr>
                <w:sz w:val="20"/>
                <w:szCs w:val="20"/>
              </w:rPr>
            </w:pPr>
            <w:r w:rsidRPr="00A61AD9">
              <w:rPr>
                <w:sz w:val="20"/>
                <w:szCs w:val="20"/>
              </w:rPr>
              <w:t>The main areas of focus and challenge for the role will be:</w:t>
            </w:r>
          </w:p>
          <w:p w14:paraId="26A4D31E" w14:textId="4C4471AC" w:rsidR="00007D03" w:rsidRPr="00A61AD9" w:rsidRDefault="00007D03" w:rsidP="00F80840">
            <w:pPr>
              <w:pStyle w:val="Bulletpoints"/>
              <w:numPr>
                <w:ilvl w:val="0"/>
                <w:numId w:val="25"/>
              </w:numPr>
              <w:spacing w:before="60"/>
              <w:contextualSpacing w:val="0"/>
              <w:rPr>
                <w:sz w:val="20"/>
                <w:szCs w:val="20"/>
              </w:rPr>
            </w:pPr>
            <w:r w:rsidRPr="00A61AD9">
              <w:rPr>
                <w:sz w:val="20"/>
                <w:szCs w:val="20"/>
              </w:rPr>
              <w:t xml:space="preserve">Providing commercial support to </w:t>
            </w:r>
            <w:r w:rsidR="006827AD">
              <w:rPr>
                <w:sz w:val="20"/>
                <w:szCs w:val="20"/>
              </w:rPr>
              <w:t>segment</w:t>
            </w:r>
            <w:r w:rsidRPr="00A61AD9">
              <w:rPr>
                <w:sz w:val="20"/>
                <w:szCs w:val="20"/>
              </w:rPr>
              <w:t xml:space="preserve">, identifying efficiency opportunities and supporting the business to </w:t>
            </w:r>
            <w:r w:rsidR="006827AD">
              <w:rPr>
                <w:sz w:val="20"/>
                <w:szCs w:val="20"/>
              </w:rPr>
              <w:t>achieve growth</w:t>
            </w:r>
            <w:r w:rsidRPr="00A61AD9">
              <w:rPr>
                <w:sz w:val="20"/>
                <w:szCs w:val="20"/>
              </w:rPr>
              <w:t xml:space="preserve"> targets </w:t>
            </w:r>
          </w:p>
          <w:p w14:paraId="1C43F1A7" w14:textId="1843BE4A" w:rsidR="00007D03" w:rsidRPr="00A61AD9" w:rsidRDefault="00007D03" w:rsidP="00F80840">
            <w:pPr>
              <w:pStyle w:val="Bulletpoints"/>
              <w:numPr>
                <w:ilvl w:val="0"/>
                <w:numId w:val="25"/>
              </w:numPr>
              <w:spacing w:before="60"/>
              <w:contextualSpacing w:val="0"/>
              <w:rPr>
                <w:sz w:val="20"/>
                <w:szCs w:val="20"/>
              </w:rPr>
            </w:pPr>
            <w:r w:rsidRPr="00A61AD9">
              <w:rPr>
                <w:sz w:val="20"/>
                <w:szCs w:val="20"/>
              </w:rPr>
              <w:t>To work with</w:t>
            </w:r>
            <w:r w:rsidR="006827AD">
              <w:rPr>
                <w:sz w:val="20"/>
                <w:szCs w:val="20"/>
              </w:rPr>
              <w:t xml:space="preserve">in </w:t>
            </w:r>
            <w:r w:rsidR="002C14FA">
              <w:rPr>
                <w:sz w:val="20"/>
                <w:szCs w:val="20"/>
              </w:rPr>
              <w:t>segment finance</w:t>
            </w:r>
            <w:r w:rsidRPr="00A61AD9">
              <w:rPr>
                <w:sz w:val="20"/>
                <w:szCs w:val="20"/>
              </w:rPr>
              <w:t>, support</w:t>
            </w:r>
            <w:r w:rsidR="00B330C1">
              <w:rPr>
                <w:sz w:val="20"/>
                <w:szCs w:val="20"/>
              </w:rPr>
              <w:t>ing</w:t>
            </w:r>
            <w:r w:rsidRPr="00A61AD9">
              <w:rPr>
                <w:sz w:val="20"/>
                <w:szCs w:val="20"/>
              </w:rPr>
              <w:t xml:space="preserve"> process </w:t>
            </w:r>
            <w:r w:rsidR="00B330C1">
              <w:rPr>
                <w:sz w:val="20"/>
                <w:szCs w:val="20"/>
              </w:rPr>
              <w:t xml:space="preserve">improvement, data </w:t>
            </w:r>
            <w:r w:rsidRPr="00A61AD9">
              <w:rPr>
                <w:sz w:val="20"/>
                <w:szCs w:val="20"/>
              </w:rPr>
              <w:t>quality</w:t>
            </w:r>
            <w:r w:rsidR="00B330C1">
              <w:rPr>
                <w:sz w:val="20"/>
                <w:szCs w:val="20"/>
              </w:rPr>
              <w:t xml:space="preserve"> and insights</w:t>
            </w:r>
          </w:p>
          <w:p w14:paraId="0C99E5E2" w14:textId="1932349A" w:rsidR="008B572C" w:rsidRPr="008B572C" w:rsidRDefault="00007D03" w:rsidP="00F80840">
            <w:pPr>
              <w:pStyle w:val="Bulletpoints"/>
              <w:numPr>
                <w:ilvl w:val="0"/>
                <w:numId w:val="25"/>
              </w:numPr>
              <w:spacing w:before="60"/>
              <w:contextualSpacing w:val="0"/>
              <w:rPr>
                <w:color w:val="FF0000"/>
                <w:szCs w:val="20"/>
              </w:rPr>
            </w:pPr>
            <w:r w:rsidRPr="00A61AD9">
              <w:rPr>
                <w:sz w:val="20"/>
                <w:szCs w:val="20"/>
              </w:rPr>
              <w:t xml:space="preserve">To identify </w:t>
            </w:r>
            <w:r w:rsidR="00EE05B5">
              <w:rPr>
                <w:sz w:val="20"/>
                <w:szCs w:val="20"/>
              </w:rPr>
              <w:t>and mitigate performance</w:t>
            </w:r>
            <w:r w:rsidRPr="00A61AD9">
              <w:rPr>
                <w:sz w:val="20"/>
                <w:szCs w:val="20"/>
              </w:rPr>
              <w:t xml:space="preserve"> gap</w:t>
            </w:r>
            <w:r w:rsidR="00EE05B5">
              <w:rPr>
                <w:sz w:val="20"/>
                <w:szCs w:val="20"/>
              </w:rPr>
              <w:t>s in the client portfolio contracts</w:t>
            </w:r>
          </w:p>
        </w:tc>
      </w:tr>
    </w:tbl>
    <w:p w14:paraId="0C99E5E4" w14:textId="77777777" w:rsidR="00E57078" w:rsidRPr="00BD640E" w:rsidRDefault="00E57078" w:rsidP="00366A73">
      <w:pPr>
        <w:jc w:val="left"/>
        <w:rPr>
          <w:rFonts w:cs="Arial"/>
          <w:sz w:val="18"/>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C99E5E6" w14:textId="77777777" w:rsidTr="00161F93">
        <w:trPr>
          <w:trHeight w:val="565"/>
        </w:trPr>
        <w:tc>
          <w:tcPr>
            <w:tcW w:w="10458" w:type="dxa"/>
            <w:shd w:val="clear" w:color="auto" w:fill="F2F2F2"/>
            <w:vAlign w:val="center"/>
          </w:tcPr>
          <w:p w14:paraId="0C99E5E5"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C99E612" w14:textId="77777777" w:rsidTr="00161F93">
        <w:trPr>
          <w:trHeight w:val="620"/>
        </w:trPr>
        <w:tc>
          <w:tcPr>
            <w:tcW w:w="10458" w:type="dxa"/>
          </w:tcPr>
          <w:p w14:paraId="0C99E5E7" w14:textId="77777777" w:rsidR="00366A73" w:rsidRPr="00C56FEC" w:rsidRDefault="00366A73" w:rsidP="00161F93">
            <w:pPr>
              <w:rPr>
                <w:rFonts w:cs="Arial"/>
                <w:b/>
                <w:sz w:val="6"/>
                <w:szCs w:val="20"/>
              </w:rPr>
            </w:pPr>
          </w:p>
          <w:p w14:paraId="619B37B2" w14:textId="77777777" w:rsidR="002A369F" w:rsidRPr="002A369F" w:rsidRDefault="002A369F" w:rsidP="00F80840">
            <w:pPr>
              <w:pStyle w:val="Puces4"/>
              <w:numPr>
                <w:ilvl w:val="0"/>
                <w:numId w:val="24"/>
              </w:numPr>
              <w:spacing w:before="60" w:after="60"/>
              <w:rPr>
                <w:color w:val="auto"/>
                <w:szCs w:val="20"/>
              </w:rPr>
            </w:pPr>
            <w:r w:rsidRPr="002A369F">
              <w:rPr>
                <w:color w:val="auto"/>
                <w:szCs w:val="20"/>
              </w:rPr>
              <w:t>Commercial Leadership - Provide leadership to the Sub-Segment to ensure that contract performance is optimised - operationally, and with client and, as and where appropriate, Government support opportunities -, all processes and systems are simplified, strategic opportunities are identified and acted upon, and risks and issues are escalated where required.</w:t>
            </w:r>
          </w:p>
          <w:p w14:paraId="1AB48866" w14:textId="77777777" w:rsidR="002A369F" w:rsidRPr="002A369F" w:rsidRDefault="002A369F" w:rsidP="00F80840">
            <w:pPr>
              <w:pStyle w:val="Puces4"/>
              <w:numPr>
                <w:ilvl w:val="0"/>
                <w:numId w:val="24"/>
              </w:numPr>
              <w:spacing w:before="60" w:after="60"/>
              <w:rPr>
                <w:color w:val="auto"/>
                <w:szCs w:val="20"/>
              </w:rPr>
            </w:pPr>
            <w:r w:rsidRPr="002A369F">
              <w:rPr>
                <w:color w:val="auto"/>
                <w:szCs w:val="20"/>
              </w:rPr>
              <w:t xml:space="preserve">Contract Management - ensure profits are optimised and contract specifications met. </w:t>
            </w:r>
          </w:p>
          <w:p w14:paraId="1AE177A4" w14:textId="77777777" w:rsidR="002A369F" w:rsidRPr="002A369F" w:rsidRDefault="002A369F" w:rsidP="00F80840">
            <w:pPr>
              <w:pStyle w:val="Puces4"/>
              <w:numPr>
                <w:ilvl w:val="0"/>
                <w:numId w:val="24"/>
              </w:numPr>
              <w:spacing w:before="60" w:after="60"/>
              <w:rPr>
                <w:color w:val="auto"/>
                <w:szCs w:val="20"/>
              </w:rPr>
            </w:pPr>
            <w:r w:rsidRPr="002A369F">
              <w:rPr>
                <w:color w:val="auto"/>
                <w:szCs w:val="20"/>
              </w:rPr>
              <w:t xml:space="preserve">Contractual Terms - Negotiate client contract terms in compliance with group procedures and legal advice in order to achieve optimum risk / return positions.  </w:t>
            </w:r>
          </w:p>
          <w:p w14:paraId="56B78619" w14:textId="5E85A0A9" w:rsidR="002A369F" w:rsidRPr="002A369F" w:rsidRDefault="002A369F" w:rsidP="00F80840">
            <w:pPr>
              <w:pStyle w:val="Puces4"/>
              <w:numPr>
                <w:ilvl w:val="0"/>
                <w:numId w:val="24"/>
              </w:numPr>
              <w:spacing w:before="60" w:after="60"/>
              <w:rPr>
                <w:color w:val="auto"/>
                <w:szCs w:val="20"/>
              </w:rPr>
            </w:pPr>
            <w:r w:rsidRPr="002A369F">
              <w:rPr>
                <w:color w:val="auto"/>
                <w:szCs w:val="20"/>
              </w:rPr>
              <w:t xml:space="preserve">Key Relationships - Focus on development of strong internal and external relationships. Operations / Account Directors, Financial Controller, BDMs, Legal, Insurance and IS&amp;T are the main internal interfaces. Externally the focus is on building appropriate relationships with client/supplier commercial staff as well as professional associations where appropriate. </w:t>
            </w:r>
          </w:p>
          <w:p w14:paraId="59A05DC6" w14:textId="77777777" w:rsidR="002A369F" w:rsidRPr="002A369F" w:rsidRDefault="002A369F" w:rsidP="00F80840">
            <w:pPr>
              <w:pStyle w:val="Puces4"/>
              <w:numPr>
                <w:ilvl w:val="0"/>
                <w:numId w:val="24"/>
              </w:numPr>
              <w:spacing w:before="60" w:after="60"/>
              <w:rPr>
                <w:color w:val="auto"/>
                <w:szCs w:val="20"/>
              </w:rPr>
            </w:pPr>
            <w:r w:rsidRPr="002A369F">
              <w:rPr>
                <w:color w:val="auto"/>
                <w:szCs w:val="20"/>
              </w:rPr>
              <w:t xml:space="preserve">Pricing - Responsibility for contract pricing, including compilation of cost models, analysis of proposed submissions and presentation of proposed pricing for approval. </w:t>
            </w:r>
          </w:p>
          <w:p w14:paraId="783A55F5" w14:textId="4F732967" w:rsidR="002A369F" w:rsidRPr="002A369F" w:rsidRDefault="002A369F" w:rsidP="00F80840">
            <w:pPr>
              <w:pStyle w:val="Puces4"/>
              <w:numPr>
                <w:ilvl w:val="0"/>
                <w:numId w:val="24"/>
              </w:numPr>
              <w:spacing w:before="60" w:after="60"/>
              <w:rPr>
                <w:color w:val="auto"/>
                <w:szCs w:val="20"/>
              </w:rPr>
            </w:pPr>
            <w:r w:rsidRPr="002A369F">
              <w:rPr>
                <w:color w:val="auto"/>
                <w:szCs w:val="20"/>
              </w:rPr>
              <w:t xml:space="preserve">Governance - Ensure commercial compliance with all Sodexo governance requirements including Segment and Region, Insurance, Legal etc </w:t>
            </w:r>
          </w:p>
          <w:p w14:paraId="7100A0D2" w14:textId="77777777" w:rsidR="002A369F" w:rsidRPr="002A369F" w:rsidRDefault="002A369F" w:rsidP="00F80840">
            <w:pPr>
              <w:pStyle w:val="Puces4"/>
              <w:numPr>
                <w:ilvl w:val="0"/>
                <w:numId w:val="24"/>
              </w:numPr>
              <w:spacing w:before="60" w:after="60"/>
              <w:rPr>
                <w:color w:val="auto"/>
                <w:szCs w:val="20"/>
              </w:rPr>
            </w:pPr>
            <w:r w:rsidRPr="002A369F">
              <w:rPr>
                <w:color w:val="auto"/>
                <w:szCs w:val="20"/>
              </w:rPr>
              <w:t>Contract Change Management - Implement process and procedures to capture contract changes and ensure all billable activities are appropriately negotiated with the relevant client.</w:t>
            </w:r>
          </w:p>
          <w:p w14:paraId="3A04157F" w14:textId="77777777" w:rsidR="000329F3" w:rsidRPr="000329F3" w:rsidRDefault="002A369F" w:rsidP="00025BD4">
            <w:pPr>
              <w:pStyle w:val="Puces4"/>
              <w:numPr>
                <w:ilvl w:val="0"/>
                <w:numId w:val="24"/>
              </w:numPr>
              <w:spacing w:before="60" w:after="60"/>
              <w:rPr>
                <w:color w:val="auto"/>
                <w:szCs w:val="20"/>
              </w:rPr>
            </w:pPr>
            <w:r w:rsidRPr="002A369F">
              <w:rPr>
                <w:color w:val="auto"/>
                <w:szCs w:val="20"/>
              </w:rPr>
              <w:t xml:space="preserve">Reporting - </w:t>
            </w:r>
            <w:r w:rsidR="000329F3">
              <w:rPr>
                <w:color w:val="000000" w:themeColor="text1"/>
                <w:szCs w:val="20"/>
              </w:rPr>
              <w:t xml:space="preserve"> Responsible for production and presentation of the accounts to the segment Finance Director</w:t>
            </w:r>
          </w:p>
          <w:p w14:paraId="0C99E611" w14:textId="49B96D8C" w:rsidR="00632593" w:rsidRPr="00025BD4" w:rsidRDefault="00025BD4" w:rsidP="00025BD4">
            <w:pPr>
              <w:pStyle w:val="Puces4"/>
              <w:numPr>
                <w:ilvl w:val="0"/>
                <w:numId w:val="24"/>
              </w:numPr>
              <w:spacing w:before="60" w:after="60"/>
              <w:rPr>
                <w:color w:val="auto"/>
                <w:szCs w:val="20"/>
              </w:rPr>
            </w:pPr>
            <w:r w:rsidRPr="00025BD4">
              <w:rPr>
                <w:color w:val="auto"/>
                <w:szCs w:val="20"/>
              </w:rPr>
              <w:t>Financial Compliance - Ensure that where appropriate Group accounting policies are being adhered to in the delivery of solutions</w:t>
            </w:r>
          </w:p>
        </w:tc>
      </w:tr>
    </w:tbl>
    <w:p w14:paraId="0C99E613" w14:textId="69AC677A" w:rsidR="00366A73" w:rsidRDefault="00366A73" w:rsidP="00366A73">
      <w:pPr>
        <w:rPr>
          <w:rFonts w:cs="Arial"/>
          <w:vertAlign w:val="subscript"/>
        </w:rPr>
      </w:pPr>
    </w:p>
    <w:p w14:paraId="160AA870" w14:textId="77777777" w:rsidR="000329F3" w:rsidRPr="00114C8C" w:rsidRDefault="000329F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C99E615"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tbl>
            <w:tblPr>
              <w:tblpPr w:leftFromText="180" w:rightFromText="180" w:vertAnchor="text" w:horzAnchor="margin" w:tblpXSpec="center" w:tblpY="192"/>
              <w:tblW w:w="10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9"/>
            </w:tblGrid>
            <w:tr w:rsidR="00AE1128" w:rsidRPr="00026845" w14:paraId="4DA2D221" w14:textId="77777777" w:rsidTr="00EC2DB0">
              <w:trPr>
                <w:trHeight w:val="709"/>
              </w:trPr>
              <w:tc>
                <w:tcPr>
                  <w:tcW w:w="10629" w:type="dxa"/>
                  <w:tcBorders>
                    <w:top w:val="single" w:sz="2" w:space="0" w:color="auto"/>
                    <w:left w:val="single" w:sz="2" w:space="0" w:color="auto"/>
                    <w:bottom w:val="dotted" w:sz="2" w:space="0" w:color="auto"/>
                    <w:right w:val="single" w:sz="2" w:space="0" w:color="auto"/>
                  </w:tcBorders>
                  <w:shd w:val="clear" w:color="auto" w:fill="F2F2F2"/>
                  <w:vAlign w:val="center"/>
                </w:tcPr>
                <w:p w14:paraId="0F2305D1" w14:textId="77777777" w:rsidR="00AE1128" w:rsidRPr="00A61AD9" w:rsidRDefault="00AE1128" w:rsidP="00AE1128">
                  <w:pPr>
                    <w:pStyle w:val="titregris"/>
                    <w:framePr w:hSpace="0" w:wrap="auto" w:vAnchor="margin" w:hAnchor="text" w:xAlign="left" w:yAlign="inline"/>
                    <w:rPr>
                      <w:b w:val="0"/>
                      <w:sz w:val="18"/>
                      <w:szCs w:val="18"/>
                    </w:rPr>
                  </w:pPr>
                  <w:r w:rsidRPr="00A61AD9">
                    <w:rPr>
                      <w:color w:val="FF0000"/>
                      <w:sz w:val="18"/>
                      <w:szCs w:val="18"/>
                    </w:rPr>
                    <w:lastRenderedPageBreak/>
                    <w:t>6.</w:t>
                  </w:r>
                  <w:r w:rsidRPr="00A61AD9">
                    <w:rPr>
                      <w:sz w:val="18"/>
                      <w:szCs w:val="18"/>
                    </w:rPr>
                    <w:t xml:space="preserve">  Accountabilities </w:t>
                  </w:r>
                  <w:r w:rsidRPr="00A61AD9">
                    <w:rPr>
                      <w:b w:val="0"/>
                      <w:sz w:val="18"/>
                      <w:szCs w:val="18"/>
                    </w:rPr>
                    <w:t>–</w:t>
                  </w:r>
                  <w:r w:rsidRPr="00A61AD9">
                    <w:rPr>
                      <w:sz w:val="18"/>
                      <w:szCs w:val="18"/>
                    </w:rPr>
                    <w:t xml:space="preserve"> </w:t>
                  </w:r>
                  <w:r w:rsidRPr="00A61AD9">
                    <w:rPr>
                      <w:b w:val="0"/>
                      <w:sz w:val="16"/>
                      <w:szCs w:val="16"/>
                    </w:rPr>
                    <w:t>Give the 3 to 5 key outputs of the position vis-à-vis the organization; they should focus on end results, not duties or activities.</w:t>
                  </w:r>
                </w:p>
              </w:tc>
            </w:tr>
            <w:tr w:rsidR="00AE1128" w:rsidRPr="00026845" w14:paraId="0D184965" w14:textId="77777777" w:rsidTr="002F4743">
              <w:trPr>
                <w:trHeight w:val="620"/>
              </w:trPr>
              <w:tc>
                <w:tcPr>
                  <w:tcW w:w="10629" w:type="dxa"/>
                  <w:tcBorders>
                    <w:top w:val="nil"/>
                    <w:left w:val="single" w:sz="2" w:space="0" w:color="auto"/>
                    <w:bottom w:val="single" w:sz="4" w:space="0" w:color="auto"/>
                    <w:right w:val="single" w:sz="4" w:space="0" w:color="auto"/>
                  </w:tcBorders>
                  <w:shd w:val="clear" w:color="auto" w:fill="auto"/>
                </w:tcPr>
                <w:p w14:paraId="09668649" w14:textId="787241E1" w:rsidR="009E6C1F" w:rsidRPr="00EA387B" w:rsidRDefault="009E6C1F" w:rsidP="00EA387B">
                  <w:pPr>
                    <w:pStyle w:val="Puces4"/>
                    <w:numPr>
                      <w:ilvl w:val="0"/>
                      <w:numId w:val="3"/>
                    </w:numPr>
                    <w:spacing w:before="60" w:after="60"/>
                    <w:ind w:right="313"/>
                    <w:rPr>
                      <w:szCs w:val="20"/>
                    </w:rPr>
                  </w:pPr>
                  <w:r w:rsidRPr="00EA387B">
                    <w:rPr>
                      <w:szCs w:val="20"/>
                    </w:rPr>
                    <w:t>Contract performance optimised, with obtaining of client variations and utilisation of Government funding schemes as and where appropriate</w:t>
                  </w:r>
                </w:p>
                <w:p w14:paraId="4FBCCBD5" w14:textId="4F2BDB84" w:rsidR="00EA387B" w:rsidRPr="00EA387B" w:rsidRDefault="00EA387B" w:rsidP="00EA387B">
                  <w:pPr>
                    <w:pStyle w:val="Puces4"/>
                    <w:numPr>
                      <w:ilvl w:val="0"/>
                      <w:numId w:val="3"/>
                    </w:numPr>
                    <w:spacing w:before="60" w:after="60"/>
                    <w:ind w:right="313"/>
                    <w:rPr>
                      <w:szCs w:val="20"/>
                    </w:rPr>
                  </w:pPr>
                  <w:r w:rsidRPr="00EA387B">
                    <w:rPr>
                      <w:szCs w:val="20"/>
                    </w:rPr>
                    <w:t xml:space="preserve">Ability to work cross functionally and gain buy-in to drive business wide performance improvement (Digital, </w:t>
                  </w:r>
                  <w:r>
                    <w:rPr>
                      <w:szCs w:val="20"/>
                    </w:rPr>
                    <w:t>food management and resourcing tools</w:t>
                  </w:r>
                  <w:r w:rsidRPr="00EA387B">
                    <w:rPr>
                      <w:szCs w:val="20"/>
                    </w:rPr>
                    <w:t>)</w:t>
                  </w:r>
                </w:p>
                <w:p w14:paraId="0193935F" w14:textId="77777777" w:rsidR="009E6C1F" w:rsidRPr="00EA387B" w:rsidRDefault="009E6C1F" w:rsidP="00EA387B">
                  <w:pPr>
                    <w:pStyle w:val="Puces4"/>
                    <w:numPr>
                      <w:ilvl w:val="0"/>
                      <w:numId w:val="3"/>
                    </w:numPr>
                    <w:spacing w:before="60" w:after="60"/>
                    <w:ind w:right="313"/>
                    <w:rPr>
                      <w:szCs w:val="20"/>
                    </w:rPr>
                  </w:pPr>
                  <w:r w:rsidRPr="00EA387B">
                    <w:rPr>
                      <w:szCs w:val="20"/>
                    </w:rPr>
                    <w:t xml:space="preserve">Competitive and commercial bids produced </w:t>
                  </w:r>
                </w:p>
                <w:p w14:paraId="15896574" w14:textId="34CF688F" w:rsidR="009E6C1F" w:rsidRPr="00EA387B" w:rsidRDefault="009E6C1F" w:rsidP="00EA387B">
                  <w:pPr>
                    <w:pStyle w:val="Puces4"/>
                    <w:numPr>
                      <w:ilvl w:val="0"/>
                      <w:numId w:val="3"/>
                    </w:numPr>
                    <w:spacing w:before="60" w:after="60"/>
                    <w:ind w:right="313"/>
                    <w:rPr>
                      <w:szCs w:val="20"/>
                    </w:rPr>
                  </w:pPr>
                  <w:r w:rsidRPr="00EA387B">
                    <w:rPr>
                      <w:szCs w:val="20"/>
                    </w:rPr>
                    <w:t xml:space="preserve">A </w:t>
                  </w:r>
                  <w:r w:rsidR="005F5934" w:rsidRPr="00EA387B">
                    <w:rPr>
                      <w:szCs w:val="20"/>
                    </w:rPr>
                    <w:t>high-quality</w:t>
                  </w:r>
                  <w:r w:rsidRPr="00EA387B">
                    <w:rPr>
                      <w:szCs w:val="20"/>
                    </w:rPr>
                    <w:t xml:space="preserve"> supply of information to the business being maintained to ensure accurate and well considered decisions </w:t>
                  </w:r>
                </w:p>
                <w:p w14:paraId="14D01091" w14:textId="2C0D8ABF" w:rsidR="002F4743" w:rsidRPr="00A61AD9" w:rsidRDefault="002F4743" w:rsidP="00EA387B">
                  <w:pPr>
                    <w:pStyle w:val="Puces4"/>
                    <w:numPr>
                      <w:ilvl w:val="0"/>
                      <w:numId w:val="0"/>
                    </w:numPr>
                    <w:spacing w:before="60" w:after="60"/>
                    <w:ind w:left="720" w:right="313"/>
                    <w:rPr>
                      <w:sz w:val="18"/>
                      <w:szCs w:val="18"/>
                    </w:rPr>
                  </w:pPr>
                </w:p>
              </w:tc>
            </w:tr>
          </w:tbl>
          <w:p w14:paraId="0C99E614" w14:textId="428BFAD8" w:rsidR="00AE1128" w:rsidRPr="00AE1128" w:rsidRDefault="00AE1128" w:rsidP="00AE1128">
            <w:pPr>
              <w:pStyle w:val="titregris"/>
              <w:framePr w:hSpace="0" w:wrap="auto" w:vAnchor="margin" w:hAnchor="text" w:xAlign="left" w:yAlign="inline"/>
              <w:rPr>
                <w:b w:val="0"/>
                <w:sz w:val="16"/>
              </w:rPr>
            </w:pPr>
          </w:p>
        </w:tc>
      </w:tr>
    </w:tbl>
    <w:p w14:paraId="4394F503" w14:textId="77777777" w:rsidR="00AE1128" w:rsidRPr="00BD640E" w:rsidRDefault="00AE1128" w:rsidP="00366A73">
      <w:pPr>
        <w:rPr>
          <w:sz w:val="18"/>
          <w:szCs w:val="22"/>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C99E61D"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99E61C" w14:textId="4FAF55D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w:t>
            </w:r>
            <w:r w:rsidR="00E43B2C">
              <w:t>Person</w:t>
            </w:r>
            <w:r>
              <w:t xml:space="preserve">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0C99E62F" w14:textId="77777777" w:rsidTr="004238D8">
        <w:trPr>
          <w:trHeight w:val="620"/>
        </w:trPr>
        <w:tc>
          <w:tcPr>
            <w:tcW w:w="10458" w:type="dxa"/>
            <w:tcBorders>
              <w:top w:val="nil"/>
              <w:left w:val="single" w:sz="2" w:space="0" w:color="auto"/>
              <w:bottom w:val="single" w:sz="4" w:space="0" w:color="auto"/>
              <w:right w:val="single" w:sz="4" w:space="0" w:color="auto"/>
            </w:tcBorders>
          </w:tcPr>
          <w:p w14:paraId="531568F8" w14:textId="77777777" w:rsidR="008974D9" w:rsidRPr="008974D9" w:rsidRDefault="008974D9" w:rsidP="00F80840">
            <w:pPr>
              <w:pStyle w:val="Puces4"/>
              <w:ind w:left="454" w:hanging="284"/>
              <w:rPr>
                <w:bCs w:val="0"/>
                <w:color w:val="auto"/>
              </w:rPr>
            </w:pPr>
            <w:r w:rsidRPr="008974D9">
              <w:rPr>
                <w:bCs w:val="0"/>
                <w:color w:val="auto"/>
              </w:rPr>
              <w:t>Qualified Accountant</w:t>
            </w:r>
          </w:p>
          <w:p w14:paraId="7768DF0A" w14:textId="7CE8B514" w:rsidR="008974D9" w:rsidRPr="008974D9" w:rsidRDefault="008974D9" w:rsidP="00F80840">
            <w:pPr>
              <w:pStyle w:val="Puces4"/>
              <w:ind w:left="454" w:hanging="284"/>
              <w:rPr>
                <w:bCs w:val="0"/>
                <w:color w:val="auto"/>
              </w:rPr>
            </w:pPr>
            <w:r w:rsidRPr="008974D9">
              <w:rPr>
                <w:bCs w:val="0"/>
                <w:color w:val="auto"/>
              </w:rPr>
              <w:t>Commercial acumen - Strong commercial decision-maker and negotiator</w:t>
            </w:r>
          </w:p>
          <w:p w14:paraId="0D417786" w14:textId="0677BEF9" w:rsidR="008974D9" w:rsidRPr="008974D9" w:rsidRDefault="008974D9" w:rsidP="00F80840">
            <w:pPr>
              <w:pStyle w:val="Puces4"/>
              <w:ind w:left="454" w:hanging="284"/>
              <w:rPr>
                <w:bCs w:val="0"/>
                <w:color w:val="auto"/>
              </w:rPr>
            </w:pPr>
            <w:r w:rsidRPr="008974D9">
              <w:rPr>
                <w:bCs w:val="0"/>
                <w:color w:val="auto"/>
              </w:rPr>
              <w:t>Communication - Ability to digest complex commercial information and communicate it effectively in all formats to a broad range of stakeholders</w:t>
            </w:r>
          </w:p>
          <w:p w14:paraId="239310F2" w14:textId="77777777" w:rsidR="008974D9" w:rsidRPr="008974D9" w:rsidRDefault="008974D9" w:rsidP="00F80840">
            <w:pPr>
              <w:pStyle w:val="Puces4"/>
              <w:ind w:left="454" w:hanging="284"/>
              <w:rPr>
                <w:bCs w:val="0"/>
                <w:color w:val="auto"/>
              </w:rPr>
            </w:pPr>
            <w:r w:rsidRPr="008974D9">
              <w:rPr>
                <w:bCs w:val="0"/>
                <w:color w:val="auto"/>
              </w:rPr>
              <w:t>Numeracy - comfortable dealing with complex financial assessments in high pressure environments.</w:t>
            </w:r>
          </w:p>
          <w:p w14:paraId="5BFDCF68" w14:textId="77777777" w:rsidR="008974D9" w:rsidRPr="008974D9" w:rsidRDefault="008974D9" w:rsidP="00F80840">
            <w:pPr>
              <w:pStyle w:val="Puces4"/>
              <w:ind w:left="454" w:hanging="284"/>
              <w:rPr>
                <w:bCs w:val="0"/>
                <w:color w:val="auto"/>
              </w:rPr>
            </w:pPr>
            <w:r w:rsidRPr="008974D9">
              <w:rPr>
                <w:bCs w:val="0"/>
                <w:color w:val="auto"/>
              </w:rPr>
              <w:t>Legal - experience of drafting, reviewing and negotiating contractual terms</w:t>
            </w:r>
          </w:p>
          <w:p w14:paraId="330AAB2A" w14:textId="05E0923F" w:rsidR="008974D9" w:rsidRPr="008974D9" w:rsidRDefault="008974D9" w:rsidP="00F80840">
            <w:pPr>
              <w:pStyle w:val="Puces4"/>
              <w:ind w:left="454" w:hanging="284"/>
              <w:rPr>
                <w:bCs w:val="0"/>
                <w:color w:val="auto"/>
              </w:rPr>
            </w:pPr>
            <w:r w:rsidRPr="008974D9">
              <w:rPr>
                <w:bCs w:val="0"/>
                <w:color w:val="auto"/>
              </w:rPr>
              <w:t xml:space="preserve">Coaching - Ability to coach and motivate Operational and </w:t>
            </w:r>
            <w:r>
              <w:rPr>
                <w:bCs w:val="0"/>
                <w:color w:val="auto"/>
              </w:rPr>
              <w:t>s</w:t>
            </w:r>
            <w:r w:rsidRPr="008974D9">
              <w:rPr>
                <w:bCs w:val="0"/>
                <w:color w:val="auto"/>
              </w:rPr>
              <w:t>ite personnel to deliver commercially</w:t>
            </w:r>
          </w:p>
          <w:p w14:paraId="3B5530B1" w14:textId="26FDDD27" w:rsidR="008974D9" w:rsidRPr="008974D9" w:rsidRDefault="008974D9" w:rsidP="00F80840">
            <w:pPr>
              <w:pStyle w:val="Puces4"/>
              <w:ind w:left="454" w:hanging="284"/>
              <w:rPr>
                <w:bCs w:val="0"/>
                <w:color w:val="auto"/>
              </w:rPr>
            </w:pPr>
            <w:r w:rsidRPr="008974D9">
              <w:rPr>
                <w:bCs w:val="0"/>
                <w:color w:val="auto"/>
              </w:rPr>
              <w:t>Influencing skills - Aware of key decision-makers and able to influence positively</w:t>
            </w:r>
          </w:p>
          <w:p w14:paraId="4E39C640" w14:textId="77777777" w:rsidR="008974D9" w:rsidRPr="008974D9" w:rsidRDefault="008974D9" w:rsidP="00F80840">
            <w:pPr>
              <w:pStyle w:val="Puces4"/>
              <w:ind w:left="454" w:hanging="284"/>
              <w:rPr>
                <w:bCs w:val="0"/>
                <w:color w:val="auto"/>
              </w:rPr>
            </w:pPr>
            <w:r w:rsidRPr="008974D9">
              <w:rPr>
                <w:bCs w:val="0"/>
                <w:color w:val="auto"/>
              </w:rPr>
              <w:t>Working with others - Able to understand different perspectives and adopt different styles to achieve business aims</w:t>
            </w:r>
          </w:p>
          <w:p w14:paraId="197757D3" w14:textId="77777777" w:rsidR="008974D9" w:rsidRPr="008974D9" w:rsidRDefault="008974D9" w:rsidP="00F80840">
            <w:pPr>
              <w:pStyle w:val="Puces4"/>
              <w:ind w:left="454" w:hanging="284"/>
              <w:rPr>
                <w:bCs w:val="0"/>
                <w:color w:val="auto"/>
              </w:rPr>
            </w:pPr>
            <w:r w:rsidRPr="008974D9">
              <w:rPr>
                <w:bCs w:val="0"/>
                <w:color w:val="auto"/>
              </w:rPr>
              <w:t xml:space="preserve">Business awareness - Proactively sees business risks and opportunities and takes appropriate action to address and improve business performance. </w:t>
            </w:r>
          </w:p>
          <w:p w14:paraId="1270F393" w14:textId="77777777" w:rsidR="008974D9" w:rsidRPr="008974D9" w:rsidRDefault="008974D9" w:rsidP="00F80840">
            <w:pPr>
              <w:pStyle w:val="Puces4"/>
              <w:ind w:left="454" w:hanging="284"/>
              <w:rPr>
                <w:bCs w:val="0"/>
                <w:color w:val="auto"/>
              </w:rPr>
            </w:pPr>
            <w:r w:rsidRPr="008974D9">
              <w:rPr>
                <w:bCs w:val="0"/>
                <w:color w:val="auto"/>
              </w:rPr>
              <w:t xml:space="preserve">Planning - Ensures appropriate plans are in place to deliver initiatives on time and with the anticipated benefits at the forecasted cost. Has previous experience of delivering projects in a large organisation. </w:t>
            </w:r>
          </w:p>
          <w:p w14:paraId="4BD6AB61" w14:textId="2044357E" w:rsidR="008974D9" w:rsidRPr="008974D9" w:rsidRDefault="008974D9" w:rsidP="00F80840">
            <w:pPr>
              <w:pStyle w:val="Puces4"/>
              <w:ind w:left="454" w:hanging="284"/>
              <w:rPr>
                <w:bCs w:val="0"/>
                <w:color w:val="auto"/>
              </w:rPr>
            </w:pPr>
            <w:r w:rsidRPr="008974D9">
              <w:rPr>
                <w:bCs w:val="0"/>
                <w:color w:val="auto"/>
              </w:rPr>
              <w:t>Continuous Improvement - Track record of engaging in place tangible plans and targets and gaining business-wide commitment for their delivery.  As well as seeking opportunities to improve from external sources of interest, data, and information to prompt innovation</w:t>
            </w:r>
          </w:p>
          <w:p w14:paraId="057996B0" w14:textId="77777777" w:rsidR="008974D9" w:rsidRPr="008974D9" w:rsidRDefault="008974D9" w:rsidP="00F80840">
            <w:pPr>
              <w:pStyle w:val="Puces4"/>
              <w:ind w:left="454" w:hanging="284"/>
              <w:rPr>
                <w:bCs w:val="0"/>
                <w:color w:val="auto"/>
              </w:rPr>
            </w:pPr>
            <w:r w:rsidRPr="008974D9">
              <w:rPr>
                <w:bCs w:val="0"/>
                <w:color w:val="auto"/>
              </w:rPr>
              <w:t>Leadership skills - Able to communicate clear  objectives across a number of functional areas and across a variety of individual client environments</w:t>
            </w:r>
          </w:p>
          <w:p w14:paraId="24968760" w14:textId="77777777" w:rsidR="008974D9" w:rsidRPr="008974D9" w:rsidRDefault="008974D9" w:rsidP="00F80840">
            <w:pPr>
              <w:pStyle w:val="Puces4"/>
              <w:ind w:left="454" w:hanging="284"/>
              <w:rPr>
                <w:bCs w:val="0"/>
                <w:color w:val="auto"/>
              </w:rPr>
            </w:pPr>
            <w:r w:rsidRPr="008974D9">
              <w:rPr>
                <w:bCs w:val="0"/>
                <w:color w:val="auto"/>
              </w:rPr>
              <w:t>Accountability - Steps forward to address business issues and is accountable for decisions.</w:t>
            </w:r>
          </w:p>
          <w:p w14:paraId="10A28DC1" w14:textId="291DEE85" w:rsidR="008974D9" w:rsidRPr="008974D9" w:rsidRDefault="008974D9" w:rsidP="00F80840">
            <w:pPr>
              <w:pStyle w:val="Puces4"/>
              <w:ind w:left="454" w:hanging="284"/>
              <w:rPr>
                <w:bCs w:val="0"/>
                <w:color w:val="auto"/>
              </w:rPr>
            </w:pPr>
            <w:r w:rsidRPr="008974D9">
              <w:rPr>
                <w:bCs w:val="0"/>
                <w:color w:val="auto"/>
              </w:rPr>
              <w:t xml:space="preserve">Technological Skills - A demonstrable interest in systems and technologies, </w:t>
            </w:r>
            <w:r w:rsidR="006827AD">
              <w:rPr>
                <w:bCs w:val="0"/>
                <w:color w:val="auto"/>
              </w:rPr>
              <w:t>e</w:t>
            </w:r>
            <w:r w:rsidRPr="008974D9">
              <w:rPr>
                <w:bCs w:val="0"/>
                <w:color w:val="auto"/>
              </w:rPr>
              <w:t>xcel and database tool</w:t>
            </w:r>
            <w:r w:rsidR="006827AD">
              <w:rPr>
                <w:bCs w:val="0"/>
                <w:color w:val="auto"/>
              </w:rPr>
              <w:t>s</w:t>
            </w:r>
          </w:p>
          <w:p w14:paraId="0C99E62E" w14:textId="77777777" w:rsidR="00EA3990" w:rsidRPr="008974D9" w:rsidRDefault="00EA3990" w:rsidP="00A55BDD">
            <w:pPr>
              <w:pStyle w:val="Puces4"/>
              <w:numPr>
                <w:ilvl w:val="0"/>
                <w:numId w:val="0"/>
              </w:numPr>
              <w:ind w:left="720"/>
              <w:rPr>
                <w:bCs w:val="0"/>
                <w:color w:val="FF0000"/>
              </w:rPr>
            </w:pPr>
          </w:p>
        </w:tc>
      </w:tr>
      <w:tr w:rsidR="00EA3990" w:rsidRPr="00315425" w14:paraId="0C99E63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99E631" w14:textId="5343611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 xml:space="preserve">Indicate which of the </w:t>
            </w:r>
            <w:r w:rsidR="00C331FA">
              <w:rPr>
                <w:b w:val="0"/>
                <w:sz w:val="16"/>
              </w:rPr>
              <w:t>S</w:t>
            </w:r>
            <w:r w:rsidR="000F3460">
              <w:rPr>
                <w:b w:val="0"/>
                <w:sz w:val="16"/>
              </w:rPr>
              <w:t>o</w:t>
            </w:r>
            <w:r>
              <w:rPr>
                <w:b w:val="0"/>
                <w:sz w:val="16"/>
              </w:rPr>
              <w:t>dexo core competencies and any professional competencies that the role requires</w:t>
            </w:r>
          </w:p>
        </w:tc>
      </w:tr>
      <w:tr w:rsidR="00EA3990" w:rsidRPr="00062691" w14:paraId="0C99E63E" w14:textId="77777777" w:rsidTr="006870F5">
        <w:trPr>
          <w:trHeight w:val="620"/>
        </w:trPr>
        <w:tc>
          <w:tcPr>
            <w:tcW w:w="10458" w:type="dxa"/>
            <w:tcBorders>
              <w:top w:val="nil"/>
              <w:left w:val="single" w:sz="2" w:space="0" w:color="auto"/>
              <w:bottom w:val="single" w:sz="4" w:space="0" w:color="auto"/>
              <w:right w:val="single" w:sz="4" w:space="0" w:color="auto"/>
            </w:tcBorders>
          </w:tcPr>
          <w:p w14:paraId="0C99E633" w14:textId="77777777" w:rsidR="00EA3990" w:rsidRDefault="00EA3990" w:rsidP="00EA3990">
            <w:pPr>
              <w:spacing w:before="40"/>
              <w:jc w:val="left"/>
              <w:rPr>
                <w:rFonts w:cs="Arial"/>
                <w:color w:val="000000" w:themeColor="text1"/>
                <w:szCs w:val="20"/>
              </w:rPr>
            </w:pP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5"/>
            </w:tblGrid>
            <w:tr w:rsidR="008D2538" w:rsidRPr="00375F11" w14:paraId="0C99E635" w14:textId="77777777" w:rsidTr="008D2538">
              <w:trPr>
                <w:trHeight w:val="281"/>
              </w:trPr>
              <w:tc>
                <w:tcPr>
                  <w:tcW w:w="10205" w:type="dxa"/>
                </w:tcPr>
                <w:p w14:paraId="0C99E634" w14:textId="3195F223" w:rsidR="008D2538" w:rsidRPr="00375F11" w:rsidRDefault="006870F5" w:rsidP="00B108FB">
                  <w:pPr>
                    <w:pStyle w:val="Puces4"/>
                    <w:framePr w:hSpace="180" w:wrap="around" w:vAnchor="text" w:hAnchor="margin" w:xAlign="center" w:y="192"/>
                    <w:ind w:left="851" w:hanging="284"/>
                    <w:rPr>
                      <w:rFonts w:eastAsia="Times New Roman"/>
                    </w:rPr>
                  </w:pPr>
                  <w:r>
                    <w:rPr>
                      <w:rFonts w:eastAsia="Times New Roman"/>
                      <w:b/>
                    </w:rPr>
                    <w:t>Customer focus</w:t>
                  </w:r>
                  <w:r w:rsidR="008D2538" w:rsidRPr="00222D69">
                    <w:rPr>
                      <w:rFonts w:eastAsia="Times New Roman"/>
                      <w:b/>
                    </w:rPr>
                    <w:t xml:space="preserve"> –</w:t>
                  </w:r>
                  <w:r w:rsidR="008D2538">
                    <w:rPr>
                      <w:rFonts w:eastAsia="Times New Roman"/>
                    </w:rPr>
                    <w:t xml:space="preserve"> </w:t>
                  </w:r>
                  <w:r w:rsidRPr="006870F5">
                    <w:rPr>
                      <w:rFonts w:eastAsia="Times New Roman"/>
                    </w:rPr>
                    <w:t>Building strong customer relationships and delivering customer-centric solutions</w:t>
                  </w:r>
                </w:p>
              </w:tc>
            </w:tr>
            <w:tr w:rsidR="008D2538" w:rsidRPr="00222D69" w14:paraId="0C99E637" w14:textId="77777777" w:rsidTr="008D2538">
              <w:trPr>
                <w:trHeight w:val="239"/>
              </w:trPr>
              <w:tc>
                <w:tcPr>
                  <w:tcW w:w="10205" w:type="dxa"/>
                </w:tcPr>
                <w:p w14:paraId="0C99E636" w14:textId="768E1BE7" w:rsidR="008D2538" w:rsidRPr="00222D69" w:rsidRDefault="006474C7" w:rsidP="00B108FB">
                  <w:pPr>
                    <w:pStyle w:val="Puces4"/>
                    <w:framePr w:hSpace="180" w:wrap="around" w:vAnchor="text" w:hAnchor="margin" w:xAlign="center" w:y="192"/>
                    <w:ind w:left="851" w:hanging="284"/>
                    <w:rPr>
                      <w:rFonts w:eastAsia="Times New Roman"/>
                      <w:b/>
                    </w:rPr>
                  </w:pPr>
                  <w:r>
                    <w:rPr>
                      <w:rFonts w:eastAsia="Times New Roman"/>
                      <w:b/>
                    </w:rPr>
                    <w:t>Drives</w:t>
                  </w:r>
                  <w:r w:rsidR="008D2538" w:rsidRPr="00222D69">
                    <w:rPr>
                      <w:rFonts w:eastAsia="Times New Roman"/>
                      <w:b/>
                    </w:rPr>
                    <w:t xml:space="preserve"> results</w:t>
                  </w:r>
                  <w:r w:rsidR="008D2538">
                    <w:rPr>
                      <w:rFonts w:eastAsia="Times New Roman"/>
                      <w:b/>
                    </w:rPr>
                    <w:t xml:space="preserve"> -</w:t>
                  </w:r>
                  <w:r w:rsidR="008D2538">
                    <w:rPr>
                      <w:rFonts w:eastAsia="Times New Roman"/>
                    </w:rPr>
                    <w:t xml:space="preserve"> </w:t>
                  </w:r>
                  <w:r w:rsidRPr="006474C7">
                    <w:rPr>
                      <w:rFonts w:eastAsia="Times New Roman"/>
                    </w:rPr>
                    <w:t>Consistently achieves results, even under tough circumstances.</w:t>
                  </w:r>
                </w:p>
              </w:tc>
            </w:tr>
            <w:tr w:rsidR="008D2538" w:rsidRPr="00222D69" w14:paraId="0C99E639" w14:textId="77777777" w:rsidTr="008D2538">
              <w:trPr>
                <w:trHeight w:val="250"/>
              </w:trPr>
              <w:tc>
                <w:tcPr>
                  <w:tcW w:w="10205" w:type="dxa"/>
                </w:tcPr>
                <w:p w14:paraId="0C99E638" w14:textId="6355DB46" w:rsidR="008D2538" w:rsidRPr="00222D69" w:rsidRDefault="005B7D65" w:rsidP="00B108FB">
                  <w:pPr>
                    <w:pStyle w:val="Puces4"/>
                    <w:framePr w:hSpace="180" w:wrap="around" w:vAnchor="text" w:hAnchor="margin" w:xAlign="center" w:y="192"/>
                    <w:ind w:left="851" w:hanging="284"/>
                    <w:rPr>
                      <w:rFonts w:eastAsia="Times New Roman"/>
                      <w:b/>
                    </w:rPr>
                  </w:pPr>
                  <w:r>
                    <w:rPr>
                      <w:rFonts w:eastAsia="Times New Roman"/>
                      <w:b/>
                    </w:rPr>
                    <w:t>Communicates effectively</w:t>
                  </w:r>
                  <w:r w:rsidR="008D2538" w:rsidRPr="00222D69">
                    <w:rPr>
                      <w:rFonts w:eastAsia="Times New Roman"/>
                      <w:b/>
                    </w:rPr>
                    <w:t xml:space="preserve"> </w:t>
                  </w:r>
                  <w:r w:rsidR="008D2538">
                    <w:rPr>
                      <w:rFonts w:eastAsia="Times New Roman"/>
                      <w:b/>
                    </w:rPr>
                    <w:t>–</w:t>
                  </w:r>
                  <w:r w:rsidR="008D2538" w:rsidRPr="00222D69">
                    <w:rPr>
                      <w:rFonts w:eastAsia="Times New Roman"/>
                      <w:b/>
                    </w:rPr>
                    <w:t xml:space="preserve"> </w:t>
                  </w:r>
                  <w:r w:rsidRPr="005B7D65">
                    <w:rPr>
                      <w:rFonts w:eastAsia="Times New Roman"/>
                    </w:rPr>
                    <w:t>Developing and delivering multi-mode communications that convey a clear understanding of the unique needs of different audience</w:t>
                  </w:r>
                </w:p>
              </w:tc>
            </w:tr>
            <w:tr w:rsidR="008D2538" w:rsidRPr="00222D69" w14:paraId="0C99E63B" w14:textId="77777777" w:rsidTr="008D2538">
              <w:trPr>
                <w:trHeight w:val="239"/>
              </w:trPr>
              <w:tc>
                <w:tcPr>
                  <w:tcW w:w="10205" w:type="dxa"/>
                </w:tcPr>
                <w:p w14:paraId="0C99E63A" w14:textId="6FCA0091" w:rsidR="008D2538" w:rsidRPr="00222D69" w:rsidRDefault="007B538D" w:rsidP="00B108FB">
                  <w:pPr>
                    <w:pStyle w:val="Puces4"/>
                    <w:framePr w:hSpace="180" w:wrap="around" w:vAnchor="text" w:hAnchor="margin" w:xAlign="center" w:y="192"/>
                    <w:ind w:left="851" w:hanging="284"/>
                    <w:rPr>
                      <w:rFonts w:eastAsia="Times New Roman"/>
                      <w:b/>
                    </w:rPr>
                  </w:pPr>
                  <w:r>
                    <w:rPr>
                      <w:rFonts w:eastAsia="Times New Roman"/>
                      <w:b/>
                    </w:rPr>
                    <w:t xml:space="preserve">Collaborates </w:t>
                  </w:r>
                  <w:r w:rsidR="008D2538" w:rsidRPr="00222D69">
                    <w:rPr>
                      <w:rFonts w:eastAsia="Times New Roman"/>
                      <w:b/>
                    </w:rPr>
                    <w:t xml:space="preserve"> </w:t>
                  </w:r>
                  <w:r w:rsidR="008D2538">
                    <w:rPr>
                      <w:rFonts w:eastAsia="Times New Roman"/>
                      <w:b/>
                    </w:rPr>
                    <w:t xml:space="preserve">– </w:t>
                  </w:r>
                  <w:r w:rsidRPr="007B538D">
                    <w:rPr>
                      <w:rFonts w:eastAsia="Times New Roman"/>
                    </w:rPr>
                    <w:t>Building partnerships and working collaboratively with others to meet shared objectives</w:t>
                  </w:r>
                </w:p>
              </w:tc>
            </w:tr>
          </w:tbl>
          <w:p w14:paraId="0C99E63D" w14:textId="3E5F6341" w:rsidR="00025BD4" w:rsidRPr="00EA3990" w:rsidRDefault="00025BD4" w:rsidP="00EA3990">
            <w:pPr>
              <w:spacing w:before="40"/>
              <w:ind w:left="720"/>
              <w:jc w:val="left"/>
              <w:rPr>
                <w:rFonts w:cs="Arial"/>
                <w:color w:val="000000" w:themeColor="text1"/>
                <w:szCs w:val="20"/>
              </w:rPr>
            </w:pPr>
          </w:p>
        </w:tc>
      </w:tr>
      <w:tr w:rsidR="00E57078" w:rsidRPr="00315425" w14:paraId="0C99E642"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0C99E641" w14:textId="0358A2F1" w:rsidR="00E57078" w:rsidRPr="00FB6D69" w:rsidRDefault="00E57078" w:rsidP="00025BD4">
            <w:pPr>
              <w:pStyle w:val="titregris"/>
              <w:framePr w:hSpace="0" w:wrap="auto" w:vAnchor="margin" w:hAnchor="text" w:xAlign="left" w:yAlign="inline"/>
              <w:ind w:left="0" w:firstLine="0"/>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C99E64D" w14:textId="77777777" w:rsidTr="006870F5">
        <w:trPr>
          <w:trHeight w:val="620"/>
        </w:trPr>
        <w:tc>
          <w:tcPr>
            <w:tcW w:w="10458" w:type="dxa"/>
            <w:tcBorders>
              <w:top w:val="nil"/>
              <w:left w:val="single" w:sz="2" w:space="0" w:color="auto"/>
              <w:bottom w:val="single" w:sz="4" w:space="0" w:color="auto"/>
              <w:right w:val="single" w:sz="4" w:space="0" w:color="auto"/>
            </w:tcBorders>
          </w:tcPr>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0C99E648" w14:textId="77777777" w:rsidTr="00E57078">
              <w:tc>
                <w:tcPr>
                  <w:tcW w:w="2122" w:type="dxa"/>
                </w:tcPr>
                <w:p w14:paraId="0C99E644" w14:textId="77777777" w:rsidR="00E57078" w:rsidRDefault="00E57078"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Version</w:t>
                  </w:r>
                </w:p>
              </w:tc>
              <w:tc>
                <w:tcPr>
                  <w:tcW w:w="2991" w:type="dxa"/>
                </w:tcPr>
                <w:p w14:paraId="0C99E645" w14:textId="345A78D0" w:rsidR="00E57078" w:rsidRDefault="00B148A4"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1.0</w:t>
                  </w:r>
                </w:p>
              </w:tc>
              <w:tc>
                <w:tcPr>
                  <w:tcW w:w="2557" w:type="dxa"/>
                </w:tcPr>
                <w:p w14:paraId="0C99E646" w14:textId="77777777" w:rsidR="00E57078" w:rsidRDefault="00E57078"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Date</w:t>
                  </w:r>
                </w:p>
              </w:tc>
              <w:tc>
                <w:tcPr>
                  <w:tcW w:w="2557" w:type="dxa"/>
                </w:tcPr>
                <w:p w14:paraId="0C99E647" w14:textId="4B2060D0" w:rsidR="00825C65" w:rsidRDefault="007D6096"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Jan</w:t>
                  </w:r>
                  <w:r w:rsidR="000F3460">
                    <w:rPr>
                      <w:rFonts w:cs="Arial"/>
                      <w:color w:val="000000" w:themeColor="text1"/>
                      <w:szCs w:val="20"/>
                    </w:rPr>
                    <w:t xml:space="preserve"> 202</w:t>
                  </w:r>
                  <w:r>
                    <w:rPr>
                      <w:rFonts w:cs="Arial"/>
                      <w:color w:val="000000" w:themeColor="text1"/>
                      <w:szCs w:val="20"/>
                    </w:rPr>
                    <w:t>5</w:t>
                  </w:r>
                </w:p>
              </w:tc>
            </w:tr>
            <w:tr w:rsidR="00E57078" w14:paraId="0C99E64B" w14:textId="77777777" w:rsidTr="00E57078">
              <w:tc>
                <w:tcPr>
                  <w:tcW w:w="2122" w:type="dxa"/>
                </w:tcPr>
                <w:p w14:paraId="0C99E649" w14:textId="77777777" w:rsidR="00E57078" w:rsidRDefault="00E57078"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Document Owner</w:t>
                  </w:r>
                </w:p>
              </w:tc>
              <w:tc>
                <w:tcPr>
                  <w:tcW w:w="8105" w:type="dxa"/>
                  <w:gridSpan w:val="3"/>
                </w:tcPr>
                <w:p w14:paraId="0C99E64A" w14:textId="60DA1C37" w:rsidR="00E57078" w:rsidRDefault="007D6096" w:rsidP="00A61AD9">
                  <w:pPr>
                    <w:framePr w:hSpace="180" w:wrap="around" w:vAnchor="text" w:hAnchor="margin" w:xAlign="center" w:y="192"/>
                    <w:spacing w:before="40"/>
                    <w:jc w:val="left"/>
                    <w:rPr>
                      <w:rFonts w:cs="Arial"/>
                      <w:color w:val="000000" w:themeColor="text1"/>
                      <w:szCs w:val="20"/>
                    </w:rPr>
                  </w:pPr>
                  <w:r>
                    <w:rPr>
                      <w:rFonts w:cs="Arial"/>
                      <w:color w:val="000000" w:themeColor="text1"/>
                      <w:szCs w:val="20"/>
                    </w:rPr>
                    <w:t>Jen Taylor</w:t>
                  </w:r>
                </w:p>
              </w:tc>
            </w:tr>
            <w:tr w:rsidR="007D6096" w14:paraId="435184A1" w14:textId="77777777" w:rsidTr="00E57078">
              <w:tc>
                <w:tcPr>
                  <w:tcW w:w="2122" w:type="dxa"/>
                </w:tcPr>
                <w:p w14:paraId="521E5A3E" w14:textId="77777777" w:rsidR="007D6096" w:rsidRDefault="007D6096" w:rsidP="00A61AD9">
                  <w:pPr>
                    <w:framePr w:hSpace="180" w:wrap="around" w:vAnchor="text" w:hAnchor="margin" w:xAlign="center" w:y="192"/>
                    <w:spacing w:before="40"/>
                    <w:jc w:val="left"/>
                    <w:rPr>
                      <w:rFonts w:cs="Arial"/>
                      <w:color w:val="000000" w:themeColor="text1"/>
                      <w:szCs w:val="20"/>
                    </w:rPr>
                  </w:pPr>
                </w:p>
              </w:tc>
              <w:tc>
                <w:tcPr>
                  <w:tcW w:w="8105" w:type="dxa"/>
                  <w:gridSpan w:val="3"/>
                </w:tcPr>
                <w:p w14:paraId="7178D35D" w14:textId="77777777" w:rsidR="007D6096" w:rsidRDefault="007D6096" w:rsidP="00A61AD9">
                  <w:pPr>
                    <w:framePr w:hSpace="180" w:wrap="around" w:vAnchor="text" w:hAnchor="margin" w:xAlign="center" w:y="192"/>
                    <w:spacing w:before="40"/>
                    <w:jc w:val="left"/>
                    <w:rPr>
                      <w:rFonts w:cs="Arial"/>
                      <w:color w:val="000000" w:themeColor="text1"/>
                      <w:szCs w:val="20"/>
                    </w:rPr>
                  </w:pPr>
                </w:p>
              </w:tc>
            </w:tr>
          </w:tbl>
          <w:p w14:paraId="0C99E64C" w14:textId="77777777" w:rsidR="00E57078" w:rsidRPr="00EA3990" w:rsidRDefault="00E57078" w:rsidP="00353228">
            <w:pPr>
              <w:spacing w:before="40"/>
              <w:ind w:left="720"/>
              <w:jc w:val="left"/>
              <w:rPr>
                <w:rFonts w:cs="Arial"/>
                <w:color w:val="000000" w:themeColor="text1"/>
                <w:szCs w:val="20"/>
              </w:rPr>
            </w:pPr>
          </w:p>
        </w:tc>
      </w:tr>
    </w:tbl>
    <w:p w14:paraId="0C99E64E" w14:textId="77777777" w:rsidR="00E57078" w:rsidRDefault="00E57078" w:rsidP="00BD640E">
      <w:pPr>
        <w:spacing w:after="200" w:line="276" w:lineRule="auto"/>
        <w:jc w:val="left"/>
      </w:pPr>
    </w:p>
    <w:sectPr w:rsidR="00E57078"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0C99E65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72E3252"/>
    <w:multiLevelType w:val="hybridMultilevel"/>
    <w:tmpl w:val="4412FA32"/>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F03B29"/>
    <w:multiLevelType w:val="hybridMultilevel"/>
    <w:tmpl w:val="1D42AE50"/>
    <w:lvl w:ilvl="0" w:tplc="CF128BF4">
      <w:start w:val="1"/>
      <w:numFmt w:val="bullet"/>
      <w:pStyle w:val="Bulletpoints"/>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471720"/>
    <w:multiLevelType w:val="hybridMultilevel"/>
    <w:tmpl w:val="95A68B90"/>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6" w15:restartNumberingAfterBreak="0">
    <w:nsid w:val="210E59F9"/>
    <w:multiLevelType w:val="hybridMultilevel"/>
    <w:tmpl w:val="DC9CD3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DAF5D0E"/>
    <w:multiLevelType w:val="hybridMultilevel"/>
    <w:tmpl w:val="5DC824F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EF6DBA"/>
    <w:multiLevelType w:val="hybridMultilevel"/>
    <w:tmpl w:val="7FF09EA4"/>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2" w15:restartNumberingAfterBreak="0">
    <w:nsid w:val="3DAD4D89"/>
    <w:multiLevelType w:val="hybridMultilevel"/>
    <w:tmpl w:val="9FD8905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45324D55"/>
    <w:multiLevelType w:val="hybridMultilevel"/>
    <w:tmpl w:val="E84401BE"/>
    <w:lvl w:ilvl="0" w:tplc="04090005">
      <w:start w:val="1"/>
      <w:numFmt w:val="bullet"/>
      <w:lvlText w:val=""/>
      <w:lvlJc w:val="left"/>
      <w:pPr>
        <w:ind w:left="360" w:hanging="360"/>
      </w:pPr>
      <w:rPr>
        <w:rFonts w:ascii="Wingdings" w:hAnsi="Wingdings" w:hint="default"/>
        <w:color w:val="FF0000"/>
        <w:sz w:val="16"/>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AD7929"/>
    <w:multiLevelType w:val="hybridMultilevel"/>
    <w:tmpl w:val="3D3EC95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F860D0"/>
    <w:multiLevelType w:val="hybridMultilevel"/>
    <w:tmpl w:val="BAFCF340"/>
    <w:lvl w:ilvl="0" w:tplc="166A4BF4">
      <w:start w:val="1"/>
      <w:numFmt w:val="decimal"/>
      <w:lvlText w:val="%1."/>
      <w:lvlJc w:val="left"/>
      <w:pPr>
        <w:ind w:left="360" w:hanging="360"/>
      </w:pPr>
      <w:rPr>
        <w:color w:val="auto"/>
        <w:sz w:val="20"/>
        <w:szCs w:val="20"/>
      </w:rPr>
    </w:lvl>
    <w:lvl w:ilvl="1" w:tplc="73C6F8FE">
      <w:start w:val="1"/>
      <w:numFmt w:val="lowerLetter"/>
      <w:lvlText w:val="%2."/>
      <w:lvlJc w:val="left"/>
      <w:pPr>
        <w:ind w:left="1080" w:hanging="360"/>
      </w:pPr>
      <w:rPr>
        <w:b/>
        <w:bCs w:val="0"/>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6746654">
    <w:abstractNumId w:val="11"/>
  </w:num>
  <w:num w:numId="2" w16cid:durableId="1955595156">
    <w:abstractNumId w:val="17"/>
  </w:num>
  <w:num w:numId="3" w16cid:durableId="436295105">
    <w:abstractNumId w:val="2"/>
  </w:num>
  <w:num w:numId="4" w16cid:durableId="556087342">
    <w:abstractNumId w:val="15"/>
  </w:num>
  <w:num w:numId="5" w16cid:durableId="853963200">
    <w:abstractNumId w:val="8"/>
  </w:num>
  <w:num w:numId="6" w16cid:durableId="26565350">
    <w:abstractNumId w:val="4"/>
  </w:num>
  <w:num w:numId="7" w16cid:durableId="765417925">
    <w:abstractNumId w:val="18"/>
  </w:num>
  <w:num w:numId="8" w16cid:durableId="1361012617">
    <w:abstractNumId w:val="10"/>
  </w:num>
  <w:num w:numId="9" w16cid:durableId="949975801">
    <w:abstractNumId w:val="23"/>
  </w:num>
  <w:num w:numId="10" w16cid:durableId="55974805">
    <w:abstractNumId w:val="24"/>
  </w:num>
  <w:num w:numId="11" w16cid:durableId="1168593373">
    <w:abstractNumId w:val="14"/>
  </w:num>
  <w:num w:numId="12" w16cid:durableId="2103910768">
    <w:abstractNumId w:val="0"/>
  </w:num>
  <w:num w:numId="13" w16cid:durableId="1656642106">
    <w:abstractNumId w:val="19"/>
  </w:num>
  <w:num w:numId="14" w16cid:durableId="342899861">
    <w:abstractNumId w:val="7"/>
  </w:num>
  <w:num w:numId="15" w16cid:durableId="1028722347">
    <w:abstractNumId w:val="21"/>
  </w:num>
  <w:num w:numId="16" w16cid:durableId="748311948">
    <w:abstractNumId w:val="22"/>
  </w:num>
  <w:num w:numId="17" w16cid:durableId="82652958">
    <w:abstractNumId w:val="12"/>
  </w:num>
  <w:num w:numId="18" w16cid:durableId="1738553063">
    <w:abstractNumId w:val="5"/>
  </w:num>
  <w:num w:numId="19" w16cid:durableId="831915183">
    <w:abstractNumId w:val="20"/>
  </w:num>
  <w:num w:numId="20" w16cid:durableId="1818298840">
    <w:abstractNumId w:val="3"/>
  </w:num>
  <w:num w:numId="21" w16cid:durableId="1403217319">
    <w:abstractNumId w:val="6"/>
  </w:num>
  <w:num w:numId="22" w16cid:durableId="854612893">
    <w:abstractNumId w:val="16"/>
  </w:num>
  <w:num w:numId="23" w16cid:durableId="359935947">
    <w:abstractNumId w:val="9"/>
  </w:num>
  <w:num w:numId="24" w16cid:durableId="578834889">
    <w:abstractNumId w:val="13"/>
  </w:num>
  <w:num w:numId="25" w16cid:durableId="2131048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7D03"/>
    <w:rsid w:val="000160DB"/>
    <w:rsid w:val="00023BCF"/>
    <w:rsid w:val="0002541A"/>
    <w:rsid w:val="00025BD4"/>
    <w:rsid w:val="000329F3"/>
    <w:rsid w:val="00034BE7"/>
    <w:rsid w:val="00043997"/>
    <w:rsid w:val="00056FA8"/>
    <w:rsid w:val="00063072"/>
    <w:rsid w:val="0008117D"/>
    <w:rsid w:val="000A690E"/>
    <w:rsid w:val="000B0B97"/>
    <w:rsid w:val="000B55E8"/>
    <w:rsid w:val="000E2886"/>
    <w:rsid w:val="000E3EF7"/>
    <w:rsid w:val="000F3460"/>
    <w:rsid w:val="00104BDE"/>
    <w:rsid w:val="00110BFC"/>
    <w:rsid w:val="00122B1B"/>
    <w:rsid w:val="00135565"/>
    <w:rsid w:val="0013732B"/>
    <w:rsid w:val="00144E5D"/>
    <w:rsid w:val="00176069"/>
    <w:rsid w:val="00180965"/>
    <w:rsid w:val="001A4BA5"/>
    <w:rsid w:val="001C0671"/>
    <w:rsid w:val="001E6E33"/>
    <w:rsid w:val="001F1F6A"/>
    <w:rsid w:val="00222089"/>
    <w:rsid w:val="002510F4"/>
    <w:rsid w:val="00253807"/>
    <w:rsid w:val="002756EC"/>
    <w:rsid w:val="00293E5D"/>
    <w:rsid w:val="00294EC3"/>
    <w:rsid w:val="002A1CAF"/>
    <w:rsid w:val="002A369F"/>
    <w:rsid w:val="002B1DC6"/>
    <w:rsid w:val="002C14FA"/>
    <w:rsid w:val="002F4743"/>
    <w:rsid w:val="002F64C8"/>
    <w:rsid w:val="00301D92"/>
    <w:rsid w:val="00302D57"/>
    <w:rsid w:val="00317DFD"/>
    <w:rsid w:val="00366A73"/>
    <w:rsid w:val="00383CDD"/>
    <w:rsid w:val="003A5998"/>
    <w:rsid w:val="003E43B0"/>
    <w:rsid w:val="00420A7A"/>
    <w:rsid w:val="004238D8"/>
    <w:rsid w:val="00424476"/>
    <w:rsid w:val="00444B6D"/>
    <w:rsid w:val="00457C71"/>
    <w:rsid w:val="00477E9D"/>
    <w:rsid w:val="00494191"/>
    <w:rsid w:val="004A2D80"/>
    <w:rsid w:val="004A4B19"/>
    <w:rsid w:val="004B1B47"/>
    <w:rsid w:val="004B2221"/>
    <w:rsid w:val="004B6F8A"/>
    <w:rsid w:val="004D170A"/>
    <w:rsid w:val="004D41B8"/>
    <w:rsid w:val="004F1314"/>
    <w:rsid w:val="00503BDB"/>
    <w:rsid w:val="00520545"/>
    <w:rsid w:val="005244D3"/>
    <w:rsid w:val="00537176"/>
    <w:rsid w:val="005430DE"/>
    <w:rsid w:val="0055081A"/>
    <w:rsid w:val="005667E9"/>
    <w:rsid w:val="005A3D94"/>
    <w:rsid w:val="005B7D65"/>
    <w:rsid w:val="005C618B"/>
    <w:rsid w:val="005C7FAE"/>
    <w:rsid w:val="005D5B10"/>
    <w:rsid w:val="005E5B63"/>
    <w:rsid w:val="005F5934"/>
    <w:rsid w:val="005F5C08"/>
    <w:rsid w:val="00603829"/>
    <w:rsid w:val="0060444A"/>
    <w:rsid w:val="00613392"/>
    <w:rsid w:val="00616B0B"/>
    <w:rsid w:val="00632593"/>
    <w:rsid w:val="00646B79"/>
    <w:rsid w:val="006474C7"/>
    <w:rsid w:val="00656519"/>
    <w:rsid w:val="00662396"/>
    <w:rsid w:val="00670A5A"/>
    <w:rsid w:val="006722E5"/>
    <w:rsid w:val="00674674"/>
    <w:rsid w:val="006766C1"/>
    <w:rsid w:val="006802C0"/>
    <w:rsid w:val="006827AD"/>
    <w:rsid w:val="006870F5"/>
    <w:rsid w:val="00692D23"/>
    <w:rsid w:val="006A1AB9"/>
    <w:rsid w:val="006A7E10"/>
    <w:rsid w:val="006B0599"/>
    <w:rsid w:val="006B181B"/>
    <w:rsid w:val="006C0BF4"/>
    <w:rsid w:val="006C0C22"/>
    <w:rsid w:val="006E0867"/>
    <w:rsid w:val="006F6FCD"/>
    <w:rsid w:val="00745A24"/>
    <w:rsid w:val="0075202D"/>
    <w:rsid w:val="00794947"/>
    <w:rsid w:val="007B538D"/>
    <w:rsid w:val="007C4E84"/>
    <w:rsid w:val="007D6096"/>
    <w:rsid w:val="007D6C56"/>
    <w:rsid w:val="007F602D"/>
    <w:rsid w:val="00825C65"/>
    <w:rsid w:val="00832004"/>
    <w:rsid w:val="00833354"/>
    <w:rsid w:val="00840587"/>
    <w:rsid w:val="00861B93"/>
    <w:rsid w:val="008974D9"/>
    <w:rsid w:val="008A2666"/>
    <w:rsid w:val="008B19FF"/>
    <w:rsid w:val="008B572C"/>
    <w:rsid w:val="008B64DE"/>
    <w:rsid w:val="008D1A2B"/>
    <w:rsid w:val="008D2538"/>
    <w:rsid w:val="008D305B"/>
    <w:rsid w:val="008D5BAE"/>
    <w:rsid w:val="0094182A"/>
    <w:rsid w:val="00945482"/>
    <w:rsid w:val="00973C24"/>
    <w:rsid w:val="0098540C"/>
    <w:rsid w:val="00991484"/>
    <w:rsid w:val="009A1FEF"/>
    <w:rsid w:val="009B7A86"/>
    <w:rsid w:val="009C42F2"/>
    <w:rsid w:val="009D3AF4"/>
    <w:rsid w:val="009E6C1F"/>
    <w:rsid w:val="009F5A50"/>
    <w:rsid w:val="00A03B01"/>
    <w:rsid w:val="00A04D7B"/>
    <w:rsid w:val="00A05EED"/>
    <w:rsid w:val="00A27F34"/>
    <w:rsid w:val="00A3267D"/>
    <w:rsid w:val="00A37146"/>
    <w:rsid w:val="00A4707B"/>
    <w:rsid w:val="00A548FF"/>
    <w:rsid w:val="00A55BDD"/>
    <w:rsid w:val="00A61AD9"/>
    <w:rsid w:val="00AC6F59"/>
    <w:rsid w:val="00AC79B9"/>
    <w:rsid w:val="00AD0377"/>
    <w:rsid w:val="00AD1DEC"/>
    <w:rsid w:val="00AD323B"/>
    <w:rsid w:val="00AE1128"/>
    <w:rsid w:val="00AF555F"/>
    <w:rsid w:val="00B108FB"/>
    <w:rsid w:val="00B148A4"/>
    <w:rsid w:val="00B330C1"/>
    <w:rsid w:val="00B414D9"/>
    <w:rsid w:val="00B568AD"/>
    <w:rsid w:val="00B643B9"/>
    <w:rsid w:val="00B70457"/>
    <w:rsid w:val="00BA763A"/>
    <w:rsid w:val="00BC2854"/>
    <w:rsid w:val="00BD640E"/>
    <w:rsid w:val="00BE17D6"/>
    <w:rsid w:val="00BE3F37"/>
    <w:rsid w:val="00BF4D80"/>
    <w:rsid w:val="00BF72D9"/>
    <w:rsid w:val="00C12BBA"/>
    <w:rsid w:val="00C22530"/>
    <w:rsid w:val="00C331FA"/>
    <w:rsid w:val="00C349B8"/>
    <w:rsid w:val="00C4250A"/>
    <w:rsid w:val="00C4467B"/>
    <w:rsid w:val="00C4695A"/>
    <w:rsid w:val="00C56A99"/>
    <w:rsid w:val="00C61430"/>
    <w:rsid w:val="00C743E7"/>
    <w:rsid w:val="00CA2F26"/>
    <w:rsid w:val="00CA3177"/>
    <w:rsid w:val="00CB4137"/>
    <w:rsid w:val="00CC0297"/>
    <w:rsid w:val="00CC2929"/>
    <w:rsid w:val="00D31827"/>
    <w:rsid w:val="00D65B9D"/>
    <w:rsid w:val="00D750FD"/>
    <w:rsid w:val="00D77736"/>
    <w:rsid w:val="00D8699B"/>
    <w:rsid w:val="00D909FE"/>
    <w:rsid w:val="00D949FB"/>
    <w:rsid w:val="00DC059F"/>
    <w:rsid w:val="00DD1EBD"/>
    <w:rsid w:val="00DE354E"/>
    <w:rsid w:val="00DE53C9"/>
    <w:rsid w:val="00DE5E49"/>
    <w:rsid w:val="00DF6D71"/>
    <w:rsid w:val="00E27F03"/>
    <w:rsid w:val="00E31AA0"/>
    <w:rsid w:val="00E33C91"/>
    <w:rsid w:val="00E43B2C"/>
    <w:rsid w:val="00E44972"/>
    <w:rsid w:val="00E54F8E"/>
    <w:rsid w:val="00E57078"/>
    <w:rsid w:val="00E675FD"/>
    <w:rsid w:val="00E70392"/>
    <w:rsid w:val="00E86121"/>
    <w:rsid w:val="00EA387B"/>
    <w:rsid w:val="00EA3990"/>
    <w:rsid w:val="00EA4C16"/>
    <w:rsid w:val="00EA5822"/>
    <w:rsid w:val="00ED3ACC"/>
    <w:rsid w:val="00EE05B5"/>
    <w:rsid w:val="00EF10A4"/>
    <w:rsid w:val="00EF6ED7"/>
    <w:rsid w:val="00F028CE"/>
    <w:rsid w:val="00F166A4"/>
    <w:rsid w:val="00F16D8D"/>
    <w:rsid w:val="00F31779"/>
    <w:rsid w:val="00F43EC6"/>
    <w:rsid w:val="00F44097"/>
    <w:rsid w:val="00F479E6"/>
    <w:rsid w:val="00F6607D"/>
    <w:rsid w:val="00F80840"/>
    <w:rsid w:val="00F865F5"/>
    <w:rsid w:val="00F97FD7"/>
    <w:rsid w:val="00FA1A0A"/>
    <w:rsid w:val="00FD5AD6"/>
    <w:rsid w:val="00FF01F1"/>
    <w:rsid w:val="00FF40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C99E568"/>
  <w15:docId w15:val="{3A8B6ACD-8953-434F-8795-DCDDE2EE6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rPr>
  </w:style>
  <w:style w:type="paragraph" w:customStyle="1" w:styleId="Texte2">
    <w:name w:val="Texte 2"/>
    <w:basedOn w:val="Normal"/>
    <w:qFormat/>
    <w:rsid w:val="00E57078"/>
    <w:pPr>
      <w:spacing w:after="80"/>
    </w:pPr>
    <w:rPr>
      <w:rFonts w:eastAsia="MS Mincho"/>
      <w:sz w:val="22"/>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C4E84"/>
    <w:rPr>
      <w:sz w:val="16"/>
      <w:szCs w:val="16"/>
    </w:rPr>
  </w:style>
  <w:style w:type="paragraph" w:styleId="CommentText">
    <w:name w:val="annotation text"/>
    <w:basedOn w:val="Normal"/>
    <w:link w:val="CommentTextChar"/>
    <w:uiPriority w:val="99"/>
    <w:semiHidden/>
    <w:unhideWhenUsed/>
    <w:rsid w:val="007C4E84"/>
    <w:rPr>
      <w:szCs w:val="20"/>
    </w:rPr>
  </w:style>
  <w:style w:type="character" w:customStyle="1" w:styleId="CommentTextChar">
    <w:name w:val="Comment Text Char"/>
    <w:basedOn w:val="DefaultParagraphFont"/>
    <w:link w:val="CommentText"/>
    <w:uiPriority w:val="99"/>
    <w:semiHidden/>
    <w:rsid w:val="007C4E84"/>
    <w:rPr>
      <w:rFonts w:ascii="Arial" w:eastAsia="Times New Roman" w:hAnsi="Arial" w:cs="Times New Roman"/>
      <w:sz w:val="20"/>
      <w:szCs w:val="20"/>
      <w:lang w:eastAsia="fr-FR"/>
    </w:rPr>
  </w:style>
  <w:style w:type="paragraph" w:customStyle="1" w:styleId="Bulletpoints">
    <w:name w:val="Bullet points"/>
    <w:basedOn w:val="Normal"/>
    <w:qFormat/>
    <w:rsid w:val="00007D03"/>
    <w:pPr>
      <w:numPr>
        <w:numId w:val="20"/>
      </w:numPr>
      <w:autoSpaceDE w:val="0"/>
      <w:autoSpaceDN w:val="0"/>
      <w:adjustRightInd w:val="0"/>
      <w:spacing w:after="60"/>
      <w:contextualSpacing/>
      <w:jc w:val="left"/>
    </w:pPr>
    <w:rPr>
      <w:rFonts w:cs="Arial"/>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13008200">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4EA1F2-E585-4498-AFF5-80036677AE9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6B977985-7F42-450D-A7B7-AB3F4AC3979E}">
      <dgm:prSet phldrT="[Text]" custT="1"/>
      <dgm:spPr/>
      <dgm:t>
        <a:bodyPr/>
        <a:lstStyle/>
        <a:p>
          <a:r>
            <a:rPr lang="en-GB" sz="1100"/>
            <a:t>Government Schools Finance Analyst</a:t>
          </a:r>
        </a:p>
      </dgm:t>
    </dgm:pt>
    <dgm:pt modelId="{869174B1-EFEF-4FF1-8FED-1F50BF751DAF}" type="parTrans" cxnId="{2D464E19-537C-422C-B954-E93214C52D70}">
      <dgm:prSet/>
      <dgm:spPr/>
      <dgm:t>
        <a:bodyPr/>
        <a:lstStyle/>
        <a:p>
          <a:endParaRPr lang="en-GB" sz="1100"/>
        </a:p>
      </dgm:t>
    </dgm:pt>
    <dgm:pt modelId="{A6EFCA7E-FBB7-4290-8FD4-85FC40242A41}" type="sibTrans" cxnId="{2D464E19-537C-422C-B954-E93214C52D70}">
      <dgm:prSet/>
      <dgm:spPr/>
      <dgm:t>
        <a:bodyPr/>
        <a:lstStyle/>
        <a:p>
          <a:endParaRPr lang="en-GB" sz="1100"/>
        </a:p>
      </dgm:t>
    </dgm:pt>
    <dgm:pt modelId="{165CB57C-CEEE-42F9-BC6E-328579B24D1E}">
      <dgm:prSet phldrT="[Text]" custT="1"/>
      <dgm:spPr/>
      <dgm:t>
        <a:bodyPr/>
        <a:lstStyle/>
        <a:p>
          <a:r>
            <a:rPr lang="en-GB" sz="1100"/>
            <a:t>Finance Director - Schools &amp; Universities</a:t>
          </a:r>
        </a:p>
      </dgm:t>
    </dgm:pt>
    <dgm:pt modelId="{EE09C5BB-716C-4CC0-ADFF-A41099F35D26}" type="parTrans" cxnId="{EE20C89C-E361-4154-A3B0-6077D860CCEF}">
      <dgm:prSet/>
      <dgm:spPr/>
      <dgm:t>
        <a:bodyPr/>
        <a:lstStyle/>
        <a:p>
          <a:endParaRPr lang="en-GB" sz="1100"/>
        </a:p>
      </dgm:t>
    </dgm:pt>
    <dgm:pt modelId="{172A74AC-FD93-4A35-A7D9-B45F3C8E54CA}" type="sibTrans" cxnId="{EE20C89C-E361-4154-A3B0-6077D860CCEF}">
      <dgm:prSet/>
      <dgm:spPr/>
      <dgm:t>
        <a:bodyPr/>
        <a:lstStyle/>
        <a:p>
          <a:endParaRPr lang="en-GB" sz="1100"/>
        </a:p>
      </dgm:t>
    </dgm:pt>
    <dgm:pt modelId="{125B9D0A-3F5F-47FC-A1C6-C005675E857C}" type="pres">
      <dgm:prSet presAssocID="{804EA1F2-E585-4498-AFF5-80036677AE99}" presName="hierChild1" presStyleCnt="0">
        <dgm:presLayoutVars>
          <dgm:orgChart val="1"/>
          <dgm:chPref val="1"/>
          <dgm:dir/>
          <dgm:animOne val="branch"/>
          <dgm:animLvl val="lvl"/>
          <dgm:resizeHandles/>
        </dgm:presLayoutVars>
      </dgm:prSet>
      <dgm:spPr/>
    </dgm:pt>
    <dgm:pt modelId="{6C8ADDEB-504A-4AF5-91C8-1BC376459E9E}" type="pres">
      <dgm:prSet presAssocID="{165CB57C-CEEE-42F9-BC6E-328579B24D1E}" presName="hierRoot1" presStyleCnt="0">
        <dgm:presLayoutVars>
          <dgm:hierBranch val="init"/>
        </dgm:presLayoutVars>
      </dgm:prSet>
      <dgm:spPr/>
    </dgm:pt>
    <dgm:pt modelId="{86E8102B-6BBA-4319-B22A-E1ACBE4B094E}" type="pres">
      <dgm:prSet presAssocID="{165CB57C-CEEE-42F9-BC6E-328579B24D1E}" presName="rootComposite1" presStyleCnt="0"/>
      <dgm:spPr/>
    </dgm:pt>
    <dgm:pt modelId="{5A53EC0A-BA71-42C2-8D90-410234C3ABD9}" type="pres">
      <dgm:prSet presAssocID="{165CB57C-CEEE-42F9-BC6E-328579B24D1E}" presName="rootText1" presStyleLbl="node0" presStyleIdx="0" presStyleCnt="1">
        <dgm:presLayoutVars>
          <dgm:chPref val="3"/>
        </dgm:presLayoutVars>
      </dgm:prSet>
      <dgm:spPr/>
    </dgm:pt>
    <dgm:pt modelId="{1F5B9779-3C83-4CA4-8AA8-53569EF42985}" type="pres">
      <dgm:prSet presAssocID="{165CB57C-CEEE-42F9-BC6E-328579B24D1E}" presName="rootConnector1" presStyleLbl="node1" presStyleIdx="0" presStyleCnt="0"/>
      <dgm:spPr/>
    </dgm:pt>
    <dgm:pt modelId="{0DF8EAA7-D94A-4D5F-8B31-22BC50C8B604}" type="pres">
      <dgm:prSet presAssocID="{165CB57C-CEEE-42F9-BC6E-328579B24D1E}" presName="hierChild2" presStyleCnt="0"/>
      <dgm:spPr/>
    </dgm:pt>
    <dgm:pt modelId="{B1DD4A58-F144-48B8-BA43-9A824455501B}" type="pres">
      <dgm:prSet presAssocID="{869174B1-EFEF-4FF1-8FED-1F50BF751DAF}" presName="Name37" presStyleLbl="parChTrans1D2" presStyleIdx="0" presStyleCnt="1"/>
      <dgm:spPr/>
    </dgm:pt>
    <dgm:pt modelId="{1BFA5E5A-FAA2-494F-94D5-8F51CE881F59}" type="pres">
      <dgm:prSet presAssocID="{6B977985-7F42-450D-A7B7-AB3F4AC3979E}" presName="hierRoot2" presStyleCnt="0">
        <dgm:presLayoutVars>
          <dgm:hierBranch val="init"/>
        </dgm:presLayoutVars>
      </dgm:prSet>
      <dgm:spPr/>
    </dgm:pt>
    <dgm:pt modelId="{A2A8195F-35AA-4345-B4F4-442A902A3BD3}" type="pres">
      <dgm:prSet presAssocID="{6B977985-7F42-450D-A7B7-AB3F4AC3979E}" presName="rootComposite" presStyleCnt="0"/>
      <dgm:spPr/>
    </dgm:pt>
    <dgm:pt modelId="{F15CF82C-2B2F-4F32-8B5B-313BBBC0EC61}" type="pres">
      <dgm:prSet presAssocID="{6B977985-7F42-450D-A7B7-AB3F4AC3979E}" presName="rootText" presStyleLbl="node2" presStyleIdx="0" presStyleCnt="1">
        <dgm:presLayoutVars>
          <dgm:chPref val="3"/>
        </dgm:presLayoutVars>
      </dgm:prSet>
      <dgm:spPr/>
    </dgm:pt>
    <dgm:pt modelId="{B41A5CB3-A20E-45FE-9F54-6EEB7BDBCDAA}" type="pres">
      <dgm:prSet presAssocID="{6B977985-7F42-450D-A7B7-AB3F4AC3979E}" presName="rootConnector" presStyleLbl="node2" presStyleIdx="0" presStyleCnt="1"/>
      <dgm:spPr/>
    </dgm:pt>
    <dgm:pt modelId="{9DA9CD31-088E-4AB7-AA35-74A16B96AED0}" type="pres">
      <dgm:prSet presAssocID="{6B977985-7F42-450D-A7B7-AB3F4AC3979E}" presName="hierChild4" presStyleCnt="0"/>
      <dgm:spPr/>
    </dgm:pt>
    <dgm:pt modelId="{BE07374D-1CFB-4E5D-9F63-D686584F544D}" type="pres">
      <dgm:prSet presAssocID="{6B977985-7F42-450D-A7B7-AB3F4AC3979E}" presName="hierChild5" presStyleCnt="0"/>
      <dgm:spPr/>
    </dgm:pt>
    <dgm:pt modelId="{8E8499E0-F7F6-40C9-B40E-0FDC46217194}" type="pres">
      <dgm:prSet presAssocID="{165CB57C-CEEE-42F9-BC6E-328579B24D1E}" presName="hierChild3" presStyleCnt="0"/>
      <dgm:spPr/>
    </dgm:pt>
  </dgm:ptLst>
  <dgm:cxnLst>
    <dgm:cxn modelId="{2D464E19-537C-422C-B954-E93214C52D70}" srcId="{165CB57C-CEEE-42F9-BC6E-328579B24D1E}" destId="{6B977985-7F42-450D-A7B7-AB3F4AC3979E}" srcOrd="0" destOrd="0" parTransId="{869174B1-EFEF-4FF1-8FED-1F50BF751DAF}" sibTransId="{A6EFCA7E-FBB7-4290-8FD4-85FC40242A41}"/>
    <dgm:cxn modelId="{55C9DB23-540C-461A-9754-5590136F730E}" type="presOf" srcId="{804EA1F2-E585-4498-AFF5-80036677AE99}" destId="{125B9D0A-3F5F-47FC-A1C6-C005675E857C}" srcOrd="0" destOrd="0" presId="urn:microsoft.com/office/officeart/2005/8/layout/orgChart1"/>
    <dgm:cxn modelId="{7F4C432A-3CE8-472D-86CF-D892EC53661B}" type="presOf" srcId="{869174B1-EFEF-4FF1-8FED-1F50BF751DAF}" destId="{B1DD4A58-F144-48B8-BA43-9A824455501B}" srcOrd="0" destOrd="0" presId="urn:microsoft.com/office/officeart/2005/8/layout/orgChart1"/>
    <dgm:cxn modelId="{C398FC6A-C8BF-41DF-9484-ADF62078F9CB}" type="presOf" srcId="{6B977985-7F42-450D-A7B7-AB3F4AC3979E}" destId="{B41A5CB3-A20E-45FE-9F54-6EEB7BDBCDAA}" srcOrd="1" destOrd="0" presId="urn:microsoft.com/office/officeart/2005/8/layout/orgChart1"/>
    <dgm:cxn modelId="{F8FECA70-DF08-438E-8147-DD2721059D3D}" type="presOf" srcId="{165CB57C-CEEE-42F9-BC6E-328579B24D1E}" destId="{1F5B9779-3C83-4CA4-8AA8-53569EF42985}" srcOrd="1" destOrd="0" presId="urn:microsoft.com/office/officeart/2005/8/layout/orgChart1"/>
    <dgm:cxn modelId="{32A76596-5FFC-4FB7-9310-997CB9624A02}" type="presOf" srcId="{165CB57C-CEEE-42F9-BC6E-328579B24D1E}" destId="{5A53EC0A-BA71-42C2-8D90-410234C3ABD9}" srcOrd="0" destOrd="0" presId="urn:microsoft.com/office/officeart/2005/8/layout/orgChart1"/>
    <dgm:cxn modelId="{EE20C89C-E361-4154-A3B0-6077D860CCEF}" srcId="{804EA1F2-E585-4498-AFF5-80036677AE99}" destId="{165CB57C-CEEE-42F9-BC6E-328579B24D1E}" srcOrd="0" destOrd="0" parTransId="{EE09C5BB-716C-4CC0-ADFF-A41099F35D26}" sibTransId="{172A74AC-FD93-4A35-A7D9-B45F3C8E54CA}"/>
    <dgm:cxn modelId="{31FBF9F3-FA51-4DDE-A9DC-3F3A936006E5}" type="presOf" srcId="{6B977985-7F42-450D-A7B7-AB3F4AC3979E}" destId="{F15CF82C-2B2F-4F32-8B5B-313BBBC0EC61}" srcOrd="0" destOrd="0" presId="urn:microsoft.com/office/officeart/2005/8/layout/orgChart1"/>
    <dgm:cxn modelId="{EEFE8476-A056-4DB4-9B14-0C93EA277C5E}" type="presParOf" srcId="{125B9D0A-3F5F-47FC-A1C6-C005675E857C}" destId="{6C8ADDEB-504A-4AF5-91C8-1BC376459E9E}" srcOrd="0" destOrd="0" presId="urn:microsoft.com/office/officeart/2005/8/layout/orgChart1"/>
    <dgm:cxn modelId="{016F7180-706F-4B9B-AD2F-261720E199A6}" type="presParOf" srcId="{6C8ADDEB-504A-4AF5-91C8-1BC376459E9E}" destId="{86E8102B-6BBA-4319-B22A-E1ACBE4B094E}" srcOrd="0" destOrd="0" presId="urn:microsoft.com/office/officeart/2005/8/layout/orgChart1"/>
    <dgm:cxn modelId="{3F368BB5-2F46-409B-B66C-8C3B75F5197A}" type="presParOf" srcId="{86E8102B-6BBA-4319-B22A-E1ACBE4B094E}" destId="{5A53EC0A-BA71-42C2-8D90-410234C3ABD9}" srcOrd="0" destOrd="0" presId="urn:microsoft.com/office/officeart/2005/8/layout/orgChart1"/>
    <dgm:cxn modelId="{5165ABE1-C9E9-4F1E-BB54-C63CFC0FB294}" type="presParOf" srcId="{86E8102B-6BBA-4319-B22A-E1ACBE4B094E}" destId="{1F5B9779-3C83-4CA4-8AA8-53569EF42985}" srcOrd="1" destOrd="0" presId="urn:microsoft.com/office/officeart/2005/8/layout/orgChart1"/>
    <dgm:cxn modelId="{227D52E2-A21A-4904-886C-027E1A4F1E2D}" type="presParOf" srcId="{6C8ADDEB-504A-4AF5-91C8-1BC376459E9E}" destId="{0DF8EAA7-D94A-4D5F-8B31-22BC50C8B604}" srcOrd="1" destOrd="0" presId="urn:microsoft.com/office/officeart/2005/8/layout/orgChart1"/>
    <dgm:cxn modelId="{AAEF8CE2-C588-44A3-9F04-140C1C496AC0}" type="presParOf" srcId="{0DF8EAA7-D94A-4D5F-8B31-22BC50C8B604}" destId="{B1DD4A58-F144-48B8-BA43-9A824455501B}" srcOrd="0" destOrd="0" presId="urn:microsoft.com/office/officeart/2005/8/layout/orgChart1"/>
    <dgm:cxn modelId="{4C6C4DA7-FD57-42A5-BF02-12C3DCE6F49D}" type="presParOf" srcId="{0DF8EAA7-D94A-4D5F-8B31-22BC50C8B604}" destId="{1BFA5E5A-FAA2-494F-94D5-8F51CE881F59}" srcOrd="1" destOrd="0" presId="urn:microsoft.com/office/officeart/2005/8/layout/orgChart1"/>
    <dgm:cxn modelId="{14451414-D9A9-442C-854D-04C45E75D55B}" type="presParOf" srcId="{1BFA5E5A-FAA2-494F-94D5-8F51CE881F59}" destId="{A2A8195F-35AA-4345-B4F4-442A902A3BD3}" srcOrd="0" destOrd="0" presId="urn:microsoft.com/office/officeart/2005/8/layout/orgChart1"/>
    <dgm:cxn modelId="{8B790C29-A3E9-411E-85BC-3F8DD038A568}" type="presParOf" srcId="{A2A8195F-35AA-4345-B4F4-442A902A3BD3}" destId="{F15CF82C-2B2F-4F32-8B5B-313BBBC0EC61}" srcOrd="0" destOrd="0" presId="urn:microsoft.com/office/officeart/2005/8/layout/orgChart1"/>
    <dgm:cxn modelId="{94007682-370F-4377-904E-483E583FE30C}" type="presParOf" srcId="{A2A8195F-35AA-4345-B4F4-442A902A3BD3}" destId="{B41A5CB3-A20E-45FE-9F54-6EEB7BDBCDAA}" srcOrd="1" destOrd="0" presId="urn:microsoft.com/office/officeart/2005/8/layout/orgChart1"/>
    <dgm:cxn modelId="{7FECBEDC-BF04-40B0-9847-B86C17643A9C}" type="presParOf" srcId="{1BFA5E5A-FAA2-494F-94D5-8F51CE881F59}" destId="{9DA9CD31-088E-4AB7-AA35-74A16B96AED0}" srcOrd="1" destOrd="0" presId="urn:microsoft.com/office/officeart/2005/8/layout/orgChart1"/>
    <dgm:cxn modelId="{A0FCD933-80C2-4D87-A82E-595647661CD0}" type="presParOf" srcId="{1BFA5E5A-FAA2-494F-94D5-8F51CE881F59}" destId="{BE07374D-1CFB-4E5D-9F63-D686584F544D}" srcOrd="2" destOrd="0" presId="urn:microsoft.com/office/officeart/2005/8/layout/orgChart1"/>
    <dgm:cxn modelId="{3B8DA558-1365-4B0D-88C0-46CE4004F39B}" type="presParOf" srcId="{6C8ADDEB-504A-4AF5-91C8-1BC376459E9E}" destId="{8E8499E0-F7F6-40C9-B40E-0FDC46217194}"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DD4A58-F144-48B8-BA43-9A824455501B}">
      <dsp:nvSpPr>
        <dsp:cNvPr id="0" name=""/>
        <dsp:cNvSpPr/>
      </dsp:nvSpPr>
      <dsp:spPr>
        <a:xfrm>
          <a:off x="1849754" y="578612"/>
          <a:ext cx="91440" cy="242950"/>
        </a:xfrm>
        <a:custGeom>
          <a:avLst/>
          <a:gdLst/>
          <a:ahLst/>
          <a:cxnLst/>
          <a:rect l="0" t="0" r="0" b="0"/>
          <a:pathLst>
            <a:path>
              <a:moveTo>
                <a:pt x="45720" y="0"/>
              </a:moveTo>
              <a:lnTo>
                <a:pt x="45720" y="24295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A53EC0A-BA71-42C2-8D90-410234C3ABD9}">
      <dsp:nvSpPr>
        <dsp:cNvPr id="0" name=""/>
        <dsp:cNvSpPr/>
      </dsp:nvSpPr>
      <dsp:spPr>
        <a:xfrm>
          <a:off x="1317021" y="159"/>
          <a:ext cx="1156906" cy="5784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Finance Director - Schools &amp; Universities</a:t>
          </a:r>
        </a:p>
      </dsp:txBody>
      <dsp:txXfrm>
        <a:off x="1317021" y="159"/>
        <a:ext cx="1156906" cy="578453"/>
      </dsp:txXfrm>
    </dsp:sp>
    <dsp:sp modelId="{F15CF82C-2B2F-4F32-8B5B-313BBBC0EC61}">
      <dsp:nvSpPr>
        <dsp:cNvPr id="0" name=""/>
        <dsp:cNvSpPr/>
      </dsp:nvSpPr>
      <dsp:spPr>
        <a:xfrm>
          <a:off x="1317021" y="821562"/>
          <a:ext cx="1156906" cy="578453"/>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Government Schools Finance Analyst</a:t>
          </a:r>
        </a:p>
      </dsp:txBody>
      <dsp:txXfrm>
        <a:off x="1317021" y="821562"/>
        <a:ext cx="1156906" cy="57845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675D0-6FFB-4915-B5A9-63BEA9C7A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1226</Words>
  <Characters>6992</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Taylor Jen</cp:lastModifiedBy>
  <cp:revision>3</cp:revision>
  <dcterms:created xsi:type="dcterms:W3CDTF">2025-02-13T13:38:00Z</dcterms:created>
  <dcterms:modified xsi:type="dcterms:W3CDTF">2025-02-17T12:03:00Z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