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033E3C84">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84B5BDF" w:rsidR="00685BE2" w:rsidRPr="00707D60" w:rsidRDefault="00F2684D" w:rsidP="00D42667">
                            <w:pPr>
                              <w:jc w:val="left"/>
                              <w:rPr>
                                <w:b/>
                                <w:bCs/>
                                <w:color w:val="FFFFFF" w:themeColor="background1"/>
                                <w:sz w:val="40"/>
                                <w:szCs w:val="40"/>
                                <w:lang w:val="en-AU"/>
                              </w:rPr>
                            </w:pPr>
                            <w:r>
                              <w:rPr>
                                <w:b/>
                                <w:bCs/>
                                <w:color w:val="FFFFFF" w:themeColor="background1"/>
                                <w:sz w:val="44"/>
                                <w:szCs w:val="44"/>
                                <w:lang w:val="en-GB"/>
                              </w:rPr>
                              <w:t>Social Mobility</w:t>
                            </w:r>
                            <w:r w:rsidR="00BB25C1">
                              <w:rPr>
                                <w:b/>
                                <w:bCs/>
                                <w:color w:val="FFFFFF" w:themeColor="background1"/>
                                <w:sz w:val="44"/>
                                <w:szCs w:val="44"/>
                                <w:lang w:val="en-GB"/>
                              </w:rPr>
                              <w:t xml:space="preserve"> Coordinator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84B5BDF" w:rsidR="00685BE2" w:rsidRPr="00707D60" w:rsidRDefault="00F2684D" w:rsidP="00D42667">
                      <w:pPr>
                        <w:jc w:val="left"/>
                        <w:rPr>
                          <w:b/>
                          <w:bCs/>
                          <w:color w:val="FFFFFF" w:themeColor="background1"/>
                          <w:sz w:val="40"/>
                          <w:szCs w:val="40"/>
                          <w:lang w:val="en-AU"/>
                        </w:rPr>
                      </w:pPr>
                      <w:r>
                        <w:rPr>
                          <w:b/>
                          <w:bCs/>
                          <w:color w:val="FFFFFF" w:themeColor="background1"/>
                          <w:sz w:val="44"/>
                          <w:szCs w:val="44"/>
                          <w:lang w:val="en-GB"/>
                        </w:rPr>
                        <w:t>Social Mobility</w:t>
                      </w:r>
                      <w:r w:rsidR="00BB25C1">
                        <w:rPr>
                          <w:b/>
                          <w:bCs/>
                          <w:color w:val="FFFFFF" w:themeColor="background1"/>
                          <w:sz w:val="44"/>
                          <w:szCs w:val="44"/>
                          <w:lang w:val="en-GB"/>
                        </w:rPr>
                        <w:t xml:space="preserve"> Coordinator </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06F7FFAE">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05A445EF">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FDCDB" id="Rectangle 3" o:spid="_x0000_s1026" style="position:absolute;margin-left:0;margin-top:-84.75pt;width:595.2pt;height:189.9pt;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15F44C4" w:rsidR="00800A60" w:rsidRPr="00A824A9" w:rsidRDefault="008179FB" w:rsidP="00800A60">
            <w:pPr>
              <w:spacing w:before="20" w:after="20"/>
              <w:jc w:val="left"/>
              <w:rPr>
                <w:rFonts w:cs="Arial"/>
                <w:color w:val="000000" w:themeColor="text1"/>
                <w:szCs w:val="20"/>
              </w:rPr>
            </w:pPr>
            <w:r>
              <w:rPr>
                <w:rFonts w:cs="Arial"/>
                <w:color w:val="000000" w:themeColor="text1"/>
                <w:szCs w:val="20"/>
              </w:rPr>
              <w:t xml:space="preserve">Sustainability </w:t>
            </w:r>
            <w:r w:rsidR="00612681">
              <w:rPr>
                <w:rFonts w:cs="Arial"/>
                <w:color w:val="000000" w:themeColor="text1"/>
                <w:szCs w:val="20"/>
              </w:rPr>
              <w:t>&amp; Workplace Culture – HR Transversal</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A55C83D" w:rsidR="00800A60" w:rsidRPr="00A824A9" w:rsidRDefault="000D30B3" w:rsidP="00800A60">
            <w:pPr>
              <w:spacing w:before="20" w:after="20"/>
              <w:jc w:val="left"/>
              <w:rPr>
                <w:rFonts w:cs="Arial"/>
                <w:color w:val="000000" w:themeColor="text1"/>
                <w:szCs w:val="20"/>
                <w:lang w:val="en-GB"/>
              </w:rPr>
            </w:pPr>
            <w:r>
              <w:rPr>
                <w:rFonts w:cs="Arial"/>
                <w:color w:val="000000" w:themeColor="text1"/>
                <w:szCs w:val="20"/>
              </w:rPr>
              <w:t>Social Mobility</w:t>
            </w:r>
            <w:r w:rsidR="00BB25C1" w:rsidRPr="001330C4">
              <w:rPr>
                <w:rFonts w:cs="Arial"/>
                <w:color w:val="000000" w:themeColor="text1"/>
                <w:szCs w:val="20"/>
              </w:rPr>
              <w:t xml:space="preserve"> Coordinator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301612C"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18645C6" w:rsidR="00D42667" w:rsidRPr="00A824A9" w:rsidRDefault="00D42667"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BD3B294" w:rsidR="00800A60" w:rsidRDefault="006728A4" w:rsidP="00800A60">
            <w:pPr>
              <w:spacing w:before="20" w:after="20"/>
              <w:jc w:val="left"/>
              <w:rPr>
                <w:rFonts w:cs="Arial"/>
                <w:color w:val="000000" w:themeColor="text1"/>
                <w:szCs w:val="20"/>
              </w:rPr>
            </w:pPr>
            <w:r>
              <w:rPr>
                <w:rFonts w:cs="Arial"/>
                <w:color w:val="000000" w:themeColor="text1"/>
                <w:szCs w:val="20"/>
              </w:rPr>
              <w:t xml:space="preserve">Head of Stop Hunger Foundation, </w:t>
            </w:r>
            <w:r w:rsidR="00D42667">
              <w:rPr>
                <w:rFonts w:cs="Arial"/>
                <w:color w:val="000000" w:themeColor="text1"/>
                <w:szCs w:val="20"/>
              </w:rPr>
              <w:t>Camille Thobois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073A1F8"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C00C9EB" w:rsidR="00800A60" w:rsidRDefault="001330C4" w:rsidP="00800A60">
            <w:pPr>
              <w:spacing w:before="20" w:after="20"/>
              <w:jc w:val="left"/>
              <w:rPr>
                <w:rFonts w:cs="Arial"/>
                <w:color w:val="000000" w:themeColor="text1"/>
                <w:szCs w:val="20"/>
              </w:rPr>
            </w:pPr>
            <w:r>
              <w:rPr>
                <w:rFonts w:cs="Arial"/>
                <w:color w:val="000000" w:themeColor="text1"/>
                <w:szCs w:val="20"/>
              </w:rPr>
              <w:t xml:space="preserve">Hybrid </w:t>
            </w:r>
            <w:r w:rsidR="0005449E">
              <w:rPr>
                <w:rFonts w:cs="Arial"/>
                <w:color w:val="000000" w:themeColor="text1"/>
                <w:szCs w:val="20"/>
              </w:rPr>
              <w:t>(travel to sites approx. 3 days/week)</w:t>
            </w:r>
            <w:r w:rsidR="006728A4">
              <w:rPr>
                <w:rFonts w:cs="Arial"/>
                <w:color w:val="000000" w:themeColor="text1"/>
                <w:szCs w:val="20"/>
              </w:rPr>
              <w:t xml:space="preserve">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bl>
    <w:tbl>
      <w:tblPr>
        <w:tblW w:w="0" w:type="auto"/>
        <w:tblLook w:val="04A0" w:firstRow="1" w:lastRow="0" w:firstColumn="1" w:lastColumn="0" w:noHBand="0" w:noVBand="1"/>
      </w:tblPr>
      <w:tblGrid>
        <w:gridCol w:w="9554"/>
        <w:gridCol w:w="66"/>
      </w:tblGrid>
      <w:tr w:rsidR="0027422B" w14:paraId="42C5811C" w14:textId="77777777" w:rsidTr="0027422B">
        <w:trPr>
          <w:trHeight w:val="418"/>
        </w:trPr>
        <w:tc>
          <w:tcPr>
            <w:tcW w:w="10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0F3E3" w14:textId="77777777" w:rsidR="0027422B" w:rsidRDefault="0027422B" w:rsidP="0027422B">
            <w:pPr>
              <w:pStyle w:val="ListParagraph"/>
              <w:numPr>
                <w:ilvl w:val="0"/>
                <w:numId w:val="13"/>
              </w:numPr>
              <w:contextualSpacing w:val="0"/>
              <w:rPr>
                <w:color w:val="000000"/>
                <w:kern w:val="2"/>
                <w:szCs w:val="20"/>
                <w:lang w:val="en-GB" w:eastAsia="en-GB"/>
                <w14:ligatures w14:val="standardContextual"/>
              </w:rPr>
            </w:pPr>
            <w:r>
              <w:rPr>
                <w:color w:val="000000"/>
              </w:rPr>
              <w:t>Bring Sodexo’s social impact ambitions to life by coordinating volunteering, fundraising and social mobility activity that enables place-based, meaningful impact at a frontline/contract level.</w:t>
            </w:r>
          </w:p>
          <w:p w14:paraId="746905E8" w14:textId="77777777" w:rsidR="0027422B" w:rsidRDefault="0027422B" w:rsidP="0027422B">
            <w:pPr>
              <w:pStyle w:val="ListParagraph"/>
              <w:numPr>
                <w:ilvl w:val="0"/>
                <w:numId w:val="13"/>
              </w:numPr>
              <w:contextualSpacing w:val="0"/>
              <w:rPr>
                <w:color w:val="000000"/>
              </w:rPr>
            </w:pPr>
            <w:r>
              <w:rPr>
                <w:color w:val="000000"/>
              </w:rPr>
              <w:t>Partner with site teams, segment leads, the Culture &amp; Belonging team and employee networks to design and deliver inclusive opportunities that strengthen our culture, deepen community connections and improve outcomes for local people.</w:t>
            </w:r>
          </w:p>
          <w:p w14:paraId="7C148931" w14:textId="77777777" w:rsidR="0027422B" w:rsidRDefault="0027422B" w:rsidP="0027422B">
            <w:pPr>
              <w:pStyle w:val="ListParagraph"/>
              <w:numPr>
                <w:ilvl w:val="0"/>
                <w:numId w:val="13"/>
              </w:numPr>
              <w:contextualSpacing w:val="0"/>
              <w:rPr>
                <w:color w:val="000000"/>
              </w:rPr>
            </w:pPr>
            <w:r>
              <w:rPr>
                <w:color w:val="000000"/>
              </w:rPr>
              <w:t>Support Sodexo to evidence impact through high-quality activation, consistent storytelling and robust data capture that demonstrates tangible results across UK &amp; Ireland.</w:t>
            </w:r>
          </w:p>
        </w:tc>
        <w:tc>
          <w:tcPr>
            <w:tcW w:w="60" w:type="dxa"/>
            <w:tcBorders>
              <w:top w:val="nil"/>
              <w:left w:val="nil"/>
              <w:bottom w:val="nil"/>
              <w:right w:val="nil"/>
            </w:tcBorders>
            <w:tcMar>
              <w:top w:w="0" w:type="dxa"/>
              <w:left w:w="0" w:type="dxa"/>
              <w:bottom w:w="0" w:type="dxa"/>
              <w:right w:w="0" w:type="dxa"/>
            </w:tcMar>
            <w:vAlign w:val="center"/>
            <w:hideMark/>
          </w:tcPr>
          <w:p w14:paraId="3AE01D01" w14:textId="77777777" w:rsidR="0027422B" w:rsidRDefault="0027422B">
            <w:r>
              <w:t> </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bl>
    <w:tbl>
      <w:tblPr>
        <w:tblW w:w="0" w:type="auto"/>
        <w:tblLook w:val="04A0" w:firstRow="1" w:lastRow="0" w:firstColumn="1" w:lastColumn="0" w:noHBand="0" w:noVBand="1"/>
      </w:tblPr>
      <w:tblGrid>
        <w:gridCol w:w="9610"/>
      </w:tblGrid>
      <w:tr w:rsidR="00C56D4A" w14:paraId="609581E5" w14:textId="77777777" w:rsidTr="00C56D4A">
        <w:tc>
          <w:tcPr>
            <w:tcW w:w="10375" w:type="dxa"/>
            <w:tcBorders>
              <w:top w:val="nil"/>
              <w:left w:val="single" w:sz="8" w:space="0" w:color="auto"/>
              <w:bottom w:val="dotted" w:sz="8" w:space="0" w:color="auto"/>
              <w:right w:val="single" w:sz="8" w:space="0" w:color="auto"/>
            </w:tcBorders>
            <w:vAlign w:val="center"/>
            <w:hideMark/>
          </w:tcPr>
          <w:p w14:paraId="5820FC5F" w14:textId="77777777" w:rsidR="00C56D4A" w:rsidRDefault="00C56D4A" w:rsidP="00C56D4A">
            <w:pPr>
              <w:pStyle w:val="Puces4"/>
              <w:numPr>
                <w:ilvl w:val="0"/>
                <w:numId w:val="16"/>
              </w:numPr>
              <w:ind w:hanging="171"/>
              <w:rPr>
                <w:kern w:val="2"/>
                <w:szCs w:val="20"/>
                <w:lang w:eastAsia="en-GB"/>
              </w:rPr>
            </w:pPr>
            <w:r>
              <w:t>Coordinate the planning, promotion and delivery of place-based social impact activity across UK&amp;I, including Stop Hunger volunteering, fundraising and social mobility initiatives.</w:t>
            </w:r>
          </w:p>
          <w:p w14:paraId="047EA859" w14:textId="77777777" w:rsidR="00C56D4A" w:rsidRDefault="00C56D4A" w:rsidP="00C56D4A">
            <w:pPr>
              <w:pStyle w:val="Puces4"/>
              <w:numPr>
                <w:ilvl w:val="0"/>
                <w:numId w:val="16"/>
              </w:numPr>
              <w:ind w:hanging="171"/>
            </w:pPr>
            <w:r>
              <w:t>Work with site teams, contract managers and segment leads to identify local priorities and create meaningful, practical opportunities that can be delivered at a frontline/contract level.</w:t>
            </w:r>
          </w:p>
          <w:p w14:paraId="0A0D1E06" w14:textId="77777777" w:rsidR="00C56D4A" w:rsidRDefault="00C56D4A" w:rsidP="00C56D4A">
            <w:pPr>
              <w:pStyle w:val="Puces4"/>
              <w:numPr>
                <w:ilvl w:val="0"/>
                <w:numId w:val="16"/>
              </w:numPr>
              <w:ind w:hanging="171"/>
            </w:pPr>
            <w:r>
              <w:t>Develop and manage an annual calendar of key moments (e.g., Stop Hunger Service Days, social mobility activations, festive volunteering, partner campaigns and the Stop Hunger Dinner) and ensure clear planning and communications for each cycle.</w:t>
            </w:r>
          </w:p>
          <w:p w14:paraId="34458ECB" w14:textId="77777777" w:rsidR="00C56D4A" w:rsidRDefault="00C56D4A" w:rsidP="00C56D4A">
            <w:pPr>
              <w:pStyle w:val="Puces4"/>
              <w:numPr>
                <w:ilvl w:val="0"/>
                <w:numId w:val="16"/>
              </w:numPr>
              <w:ind w:hanging="171"/>
            </w:pPr>
            <w:r>
              <w:t>Lead the end-to-end coordination and delivery of the Stop Hunger Dinner, including project planning, stakeholder management, logistics, partner liaison, comms and on-the-day support.</w:t>
            </w:r>
          </w:p>
          <w:p w14:paraId="6B83C794" w14:textId="77777777" w:rsidR="00C56D4A" w:rsidRDefault="00C56D4A" w:rsidP="00C56D4A">
            <w:pPr>
              <w:pStyle w:val="Puces4"/>
              <w:numPr>
                <w:ilvl w:val="0"/>
                <w:numId w:val="16"/>
              </w:numPr>
              <w:ind w:hanging="171"/>
            </w:pPr>
            <w:r>
              <w:t>Support sites with logistics, risk considerations and partner liaison (including safeguarding where relevant) to enable safe, inclusive and high-quality delivery.</w:t>
            </w:r>
          </w:p>
          <w:p w14:paraId="398C5DB2" w14:textId="77777777" w:rsidR="00C56D4A" w:rsidRDefault="00C56D4A" w:rsidP="00C56D4A">
            <w:pPr>
              <w:pStyle w:val="Puces4"/>
              <w:numPr>
                <w:ilvl w:val="0"/>
                <w:numId w:val="16"/>
              </w:numPr>
              <w:ind w:hanging="171"/>
            </w:pPr>
            <w:r>
              <w:t>Oversee digital and physical sign</w:t>
            </w:r>
            <w:r>
              <w:noBreakHyphen/>
              <w:t>up processes and provide simple guidance, toolkits and templates so managers can deliver activity confidently and consistently.</w:t>
            </w:r>
          </w:p>
          <w:p w14:paraId="58F342EA" w14:textId="77777777" w:rsidR="00C56D4A" w:rsidRDefault="00C56D4A" w:rsidP="00C56D4A">
            <w:pPr>
              <w:pStyle w:val="Puces4"/>
              <w:numPr>
                <w:ilvl w:val="0"/>
                <w:numId w:val="16"/>
              </w:numPr>
              <w:ind w:hanging="171"/>
            </w:pPr>
            <w:r>
              <w:t xml:space="preserve">Collaborate with the Culture &amp; Belonging team to ensure activity aligns to the Belong, Act, </w:t>
            </w:r>
            <w:proofErr w:type="gramStart"/>
            <w:r>
              <w:t>Thrive</w:t>
            </w:r>
            <w:proofErr w:type="gramEnd"/>
            <w:r>
              <w:t xml:space="preserve"> ethos and strengthens colleague experience and participation.</w:t>
            </w:r>
          </w:p>
          <w:p w14:paraId="075AEF44" w14:textId="77777777" w:rsidR="00C56D4A" w:rsidRDefault="00C56D4A" w:rsidP="00C56D4A">
            <w:pPr>
              <w:pStyle w:val="Puces4"/>
              <w:numPr>
                <w:ilvl w:val="0"/>
                <w:numId w:val="16"/>
              </w:numPr>
              <w:ind w:hanging="171"/>
            </w:pPr>
            <w:r>
              <w:t>Embed volunteering and social mobility opportunities into employee network programmes (Origins, Generations, Pride, Families, Disability networks, etc.) and support networks to deliver community-impact events aligned to their priorities.</w:t>
            </w:r>
          </w:p>
          <w:p w14:paraId="4699B887" w14:textId="77777777" w:rsidR="00C56D4A" w:rsidRDefault="00C56D4A" w:rsidP="00C56D4A">
            <w:pPr>
              <w:pStyle w:val="Puces4"/>
              <w:numPr>
                <w:ilvl w:val="0"/>
                <w:numId w:val="16"/>
              </w:numPr>
              <w:ind w:hanging="171"/>
            </w:pPr>
            <w:r>
              <w:lastRenderedPageBreak/>
              <w:t>Maintain strong relationships with charity partners, NGOs, schools/colleges and community groups to broaden opportunities and ensure they are locally relevant and impactful.</w:t>
            </w:r>
          </w:p>
          <w:p w14:paraId="1248EF0F" w14:textId="77777777" w:rsidR="00C56D4A" w:rsidRDefault="00C56D4A" w:rsidP="00C56D4A">
            <w:pPr>
              <w:pStyle w:val="Puces4"/>
              <w:numPr>
                <w:ilvl w:val="0"/>
                <w:numId w:val="16"/>
              </w:numPr>
              <w:ind w:hanging="171"/>
            </w:pPr>
            <w:r>
              <w:t>Provide on-the-ground event delivery support where required, ensuring strong representation of Sodexo values and a consistent colleague and partner experience.</w:t>
            </w:r>
          </w:p>
          <w:p w14:paraId="1307C807" w14:textId="77777777" w:rsidR="00C56D4A" w:rsidRDefault="00C56D4A" w:rsidP="00C56D4A">
            <w:pPr>
              <w:pStyle w:val="Puces4"/>
              <w:numPr>
                <w:ilvl w:val="0"/>
                <w:numId w:val="16"/>
              </w:numPr>
              <w:ind w:hanging="171"/>
            </w:pPr>
            <w:r>
              <w:t>Work with communications teams to capture and share stories of impact, celebrating activity and encouraging colleagues and sites to get involved.</w:t>
            </w:r>
          </w:p>
          <w:p w14:paraId="2C916326" w14:textId="77777777" w:rsidR="00C56D4A" w:rsidRDefault="00C56D4A" w:rsidP="00C56D4A">
            <w:pPr>
              <w:pStyle w:val="Puces4"/>
              <w:numPr>
                <w:ilvl w:val="0"/>
                <w:numId w:val="16"/>
              </w:numPr>
              <w:ind w:hanging="171"/>
            </w:pPr>
            <w:r>
              <w:t>Capture and maintain accurate data (e.g., volunteering hours, fundraising totals, participation, social mobility outputs/outcomes) and support reporting for Stop Hunger, Social Impact dashboards and external benchmarks.</w:t>
            </w:r>
          </w:p>
        </w:tc>
      </w:tr>
    </w:tbl>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8141B" w:rsidRPr="00A824A9" w14:paraId="024E5EAB" w14:textId="77777777" w:rsidTr="00EF0A4B">
        <w:tc>
          <w:tcPr>
            <w:tcW w:w="10375" w:type="dxa"/>
            <w:tcBorders>
              <w:top w:val="dotted" w:sz="4" w:space="0" w:color="auto"/>
              <w:left w:val="single" w:sz="2" w:space="0" w:color="auto"/>
              <w:bottom w:val="single" w:sz="4" w:space="0" w:color="auto"/>
              <w:right w:val="single" w:sz="4" w:space="0" w:color="auto"/>
            </w:tcBorders>
          </w:tcPr>
          <w:p w14:paraId="0D25E853" w14:textId="77777777" w:rsidR="0098141B" w:rsidRPr="00482A84" w:rsidRDefault="0098141B" w:rsidP="0098141B">
            <w:pPr>
              <w:pStyle w:val="Puces4"/>
              <w:numPr>
                <w:ilvl w:val="0"/>
                <w:numId w:val="0"/>
              </w:numPr>
              <w:rPr>
                <w:b/>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bl>
    <w:tbl>
      <w:tblPr>
        <w:tblW w:w="0" w:type="auto"/>
        <w:tblLook w:val="04A0" w:firstRow="1" w:lastRow="0" w:firstColumn="1" w:lastColumn="0" w:noHBand="0" w:noVBand="1"/>
      </w:tblPr>
      <w:tblGrid>
        <w:gridCol w:w="9610"/>
      </w:tblGrid>
      <w:tr w:rsidR="00B407AC" w14:paraId="50DC9DA0" w14:textId="77777777" w:rsidTr="00B407AC">
        <w:trPr>
          <w:trHeight w:val="3092"/>
        </w:trPr>
        <w:tc>
          <w:tcPr>
            <w:tcW w:w="10375" w:type="dxa"/>
            <w:tcBorders>
              <w:top w:val="nil"/>
              <w:left w:val="single" w:sz="8" w:space="0" w:color="auto"/>
              <w:bottom w:val="single" w:sz="8" w:space="0" w:color="auto"/>
              <w:right w:val="single" w:sz="8" w:space="0" w:color="auto"/>
            </w:tcBorders>
            <w:vAlign w:val="center"/>
            <w:hideMark/>
          </w:tcPr>
          <w:p w14:paraId="74CC9C4C" w14:textId="77777777" w:rsidR="00B407AC" w:rsidRDefault="00B407AC">
            <w:pPr>
              <w:pStyle w:val="ListParagraph"/>
              <w:ind w:left="360"/>
              <w:jc w:val="left"/>
              <w:rPr>
                <w:kern w:val="2"/>
                <w:szCs w:val="20"/>
                <w:lang w:val="en-GB" w:eastAsia="en-GB"/>
                <w14:ligatures w14:val="standardContextual"/>
              </w:rPr>
            </w:pPr>
            <w:r>
              <w:rPr>
                <w:color w:val="000000"/>
              </w:rPr>
              <w:t> </w:t>
            </w:r>
          </w:p>
          <w:p w14:paraId="6894F43C" w14:textId="77777777" w:rsidR="00B407AC" w:rsidRDefault="00B407AC" w:rsidP="00B407AC">
            <w:pPr>
              <w:numPr>
                <w:ilvl w:val="0"/>
                <w:numId w:val="15"/>
              </w:numPr>
              <w:ind w:left="1080"/>
              <w:jc w:val="left"/>
              <w:textAlignment w:val="center"/>
            </w:pPr>
            <w:r>
              <w:t>Supporting site teams and managers to activate Stop Hunger volunteering, fundraising and social mobility activity in a way that is accessible, meaningful, sustainable and deliverable at a frontline/contract level.</w:t>
            </w:r>
          </w:p>
          <w:p w14:paraId="356A9FE7" w14:textId="77777777" w:rsidR="00B407AC" w:rsidRDefault="00B407AC" w:rsidP="00B407AC">
            <w:pPr>
              <w:numPr>
                <w:ilvl w:val="0"/>
                <w:numId w:val="15"/>
              </w:numPr>
              <w:ind w:left="1080"/>
              <w:jc w:val="left"/>
              <w:textAlignment w:val="center"/>
            </w:pPr>
            <w:r>
              <w:t>Coordinating delivery of the Stop Hunger Dinner, which requires significant end-to-end planning, stakeholder management and operational support (including logistics, comms, partner liaison and on-the-day coordination).</w:t>
            </w:r>
          </w:p>
          <w:p w14:paraId="56852F4B" w14:textId="77777777" w:rsidR="00B407AC" w:rsidRDefault="00B407AC" w:rsidP="00B407AC">
            <w:pPr>
              <w:numPr>
                <w:ilvl w:val="0"/>
                <w:numId w:val="15"/>
              </w:numPr>
              <w:ind w:left="1080"/>
              <w:jc w:val="left"/>
              <w:textAlignment w:val="center"/>
            </w:pPr>
            <w:r>
              <w:t>Ensuring alignment and collaboration with the Culture &amp; Belonging team, embedding volunteering and social mobility opportunities into the work of employee networks (Origins, Generations, Pride, Women in Sodexo, etc.).</w:t>
            </w:r>
          </w:p>
          <w:p w14:paraId="4E7429EF" w14:textId="77777777" w:rsidR="00B407AC" w:rsidRDefault="00B407AC" w:rsidP="00B407AC">
            <w:pPr>
              <w:numPr>
                <w:ilvl w:val="0"/>
                <w:numId w:val="15"/>
              </w:numPr>
              <w:ind w:left="1080"/>
              <w:jc w:val="left"/>
              <w:textAlignment w:val="center"/>
            </w:pPr>
            <w:r>
              <w:t>Maintaining strong relationships with external partners (charities, community groups, schools/colleges where relevant) to create safe, inclusive and high-quality opportunities.</w:t>
            </w:r>
          </w:p>
          <w:p w14:paraId="59799FEC" w14:textId="77777777" w:rsidR="00B407AC" w:rsidRDefault="00B407AC" w:rsidP="00B407AC">
            <w:pPr>
              <w:numPr>
                <w:ilvl w:val="0"/>
                <w:numId w:val="15"/>
              </w:numPr>
              <w:ind w:left="1080"/>
              <w:jc w:val="left"/>
              <w:textAlignment w:val="center"/>
            </w:pPr>
            <w:r>
              <w:t>Managing multiple events and activation cycles simultaneously, ensuring clarity, consistent communication and strong colleague/partner experience.</w:t>
            </w:r>
          </w:p>
          <w:p w14:paraId="29F9025E" w14:textId="77777777" w:rsidR="00B407AC" w:rsidRDefault="00B407AC" w:rsidP="00B407AC">
            <w:pPr>
              <w:numPr>
                <w:ilvl w:val="0"/>
                <w:numId w:val="15"/>
              </w:numPr>
              <w:ind w:left="1080"/>
              <w:jc w:val="left"/>
              <w:textAlignment w:val="center"/>
            </w:pPr>
            <w:r>
              <w:t>Capturing accurate data and stories to evidence place-based impact (hours, fundraising totals, participation and social mobility outputs/outcomes) while maintaining quality and consistency across sites.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bl>
    <w:tbl>
      <w:tblPr>
        <w:tblW w:w="0" w:type="auto"/>
        <w:tblLook w:val="04A0" w:firstRow="1" w:lastRow="0" w:firstColumn="1" w:lastColumn="0" w:noHBand="0" w:noVBand="1"/>
      </w:tblPr>
      <w:tblGrid>
        <w:gridCol w:w="9610"/>
      </w:tblGrid>
      <w:tr w:rsidR="009F7F3B" w14:paraId="40C10A64" w14:textId="77777777" w:rsidTr="009F7F3B">
        <w:trPr>
          <w:trHeight w:val="620"/>
        </w:trPr>
        <w:tc>
          <w:tcPr>
            <w:tcW w:w="10375" w:type="dxa"/>
            <w:tcBorders>
              <w:top w:val="nil"/>
              <w:left w:val="single" w:sz="8" w:space="0" w:color="auto"/>
              <w:bottom w:val="single" w:sz="8" w:space="0" w:color="auto"/>
              <w:right w:val="single" w:sz="8" w:space="0" w:color="auto"/>
            </w:tcBorders>
            <w:vAlign w:val="center"/>
            <w:hideMark/>
          </w:tcPr>
          <w:p w14:paraId="44632CF0" w14:textId="77777777" w:rsidR="009F7F3B" w:rsidRDefault="009F7F3B">
            <w:pPr>
              <w:pStyle w:val="ListParagraph"/>
              <w:ind w:left="360"/>
              <w:jc w:val="left"/>
              <w:rPr>
                <w:kern w:val="2"/>
                <w:szCs w:val="20"/>
                <w:lang w:val="en-GB" w:eastAsia="en-GB"/>
                <w14:ligatures w14:val="standardContextual"/>
              </w:rPr>
            </w:pPr>
            <w:r>
              <w:rPr>
                <w:color w:val="000000"/>
              </w:rPr>
              <w:t> </w:t>
            </w:r>
          </w:p>
          <w:p w14:paraId="2BBFD366" w14:textId="77777777" w:rsidR="009F7F3B" w:rsidRDefault="009F7F3B" w:rsidP="009F7F3B">
            <w:pPr>
              <w:pStyle w:val="ListParagraph"/>
              <w:numPr>
                <w:ilvl w:val="0"/>
                <w:numId w:val="17"/>
              </w:numPr>
              <w:ind w:left="1080"/>
              <w:contextualSpacing w:val="0"/>
              <w:jc w:val="left"/>
              <w:rPr>
                <w:color w:val="000000"/>
              </w:rPr>
            </w:pPr>
            <w:r>
              <w:rPr>
                <w:color w:val="000000"/>
              </w:rPr>
              <w:t>Visible, place-based social impact delivered through activated contracts/sites, evidenced by increased participation and a stronger pipeline of volunteering, fundraising and social mobility opportunities.</w:t>
            </w:r>
          </w:p>
          <w:p w14:paraId="791DAC38" w14:textId="77777777" w:rsidR="009F7F3B" w:rsidRDefault="009F7F3B" w:rsidP="009F7F3B">
            <w:pPr>
              <w:pStyle w:val="ListParagraph"/>
              <w:numPr>
                <w:ilvl w:val="0"/>
                <w:numId w:val="17"/>
              </w:numPr>
              <w:ind w:left="1080"/>
              <w:contextualSpacing w:val="0"/>
              <w:jc w:val="left"/>
              <w:rPr>
                <w:color w:val="000000"/>
              </w:rPr>
            </w:pPr>
            <w:r>
              <w:rPr>
                <w:color w:val="000000"/>
              </w:rPr>
              <w:t>Successful annual delivery of the Stop Hunger Dinner, delivered on time and to plan, with strong stakeholder experience and measurable outcomes (e.g., attendance, fundraising and/or partner impact).</w:t>
            </w:r>
          </w:p>
          <w:p w14:paraId="0264DB15" w14:textId="77777777" w:rsidR="009F7F3B" w:rsidRDefault="009F7F3B" w:rsidP="009F7F3B">
            <w:pPr>
              <w:pStyle w:val="ListParagraph"/>
              <w:numPr>
                <w:ilvl w:val="0"/>
                <w:numId w:val="17"/>
              </w:numPr>
              <w:ind w:left="1080"/>
              <w:contextualSpacing w:val="0"/>
              <w:jc w:val="left"/>
              <w:rPr>
                <w:color w:val="000000"/>
              </w:rPr>
            </w:pPr>
            <w:r>
              <w:rPr>
                <w:color w:val="000000"/>
              </w:rPr>
              <w:t>Social mobility activity that creates tangible outcomes for local people (e.g., work inspiration, mentoring, employability or skills activity), delivered safely and consistently with partners.</w:t>
            </w:r>
          </w:p>
          <w:p w14:paraId="7235561E" w14:textId="77777777" w:rsidR="009F7F3B" w:rsidRDefault="009F7F3B" w:rsidP="009F7F3B">
            <w:pPr>
              <w:pStyle w:val="ListParagraph"/>
              <w:numPr>
                <w:ilvl w:val="0"/>
                <w:numId w:val="17"/>
              </w:numPr>
              <w:ind w:left="1080"/>
              <w:contextualSpacing w:val="0"/>
              <w:jc w:val="left"/>
              <w:rPr>
                <w:color w:val="000000"/>
              </w:rPr>
            </w:pPr>
            <w:r>
              <w:rPr>
                <w:color w:val="000000"/>
              </w:rPr>
              <w:t>High-quality comms and storytelling that increases awareness and uptake—showcasing colleague contribution and community impact across UK &amp; Ireland.</w:t>
            </w:r>
          </w:p>
          <w:p w14:paraId="0335C486" w14:textId="77777777" w:rsidR="009F7F3B" w:rsidRDefault="009F7F3B" w:rsidP="009F7F3B">
            <w:pPr>
              <w:pStyle w:val="ListParagraph"/>
              <w:numPr>
                <w:ilvl w:val="0"/>
                <w:numId w:val="17"/>
              </w:numPr>
              <w:ind w:left="1080"/>
              <w:contextualSpacing w:val="0"/>
              <w:jc w:val="left"/>
              <w:rPr>
                <w:color w:val="000000"/>
              </w:rPr>
            </w:pPr>
            <w:r>
              <w:rPr>
                <w:color w:val="000000"/>
              </w:rPr>
              <w:lastRenderedPageBreak/>
              <w:t>Accurate, timely reporting that stands up to scrutiny—capturing volunteering hours, fundraising totals, participation and social mobility outputs/outcomes to support dashboards, decision-making and external reporting.</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D42667">
        <w:trPr>
          <w:trHeight w:val="410"/>
        </w:trPr>
        <w:tc>
          <w:tcPr>
            <w:tcW w:w="10375" w:type="dxa"/>
            <w:tcBorders>
              <w:top w:val="dotted" w:sz="4" w:space="0" w:color="auto"/>
              <w:left w:val="single" w:sz="2" w:space="0" w:color="auto"/>
              <w:bottom w:val="single" w:sz="4" w:space="0" w:color="auto"/>
              <w:right w:val="single" w:sz="4" w:space="0" w:color="auto"/>
            </w:tcBorders>
          </w:tcPr>
          <w:p w14:paraId="69A0514E" w14:textId="77777777" w:rsidR="00807EB1" w:rsidRPr="00807EB1" w:rsidRDefault="00807EB1" w:rsidP="00807EB1">
            <w:pPr>
              <w:pStyle w:val="ListParagraph"/>
              <w:numPr>
                <w:ilvl w:val="0"/>
                <w:numId w:val="10"/>
              </w:numPr>
              <w:rPr>
                <w:rFonts w:cs="Arial"/>
                <w:color w:val="000000" w:themeColor="text1"/>
                <w:szCs w:val="20"/>
                <w:lang w:val="en-GB"/>
              </w:rPr>
            </w:pPr>
            <w:r w:rsidRPr="00807EB1">
              <w:rPr>
                <w:rFonts w:cs="Arial"/>
                <w:color w:val="000000" w:themeColor="text1"/>
                <w:szCs w:val="20"/>
                <w:lang w:val="en-GB"/>
              </w:rPr>
              <w:t>Scope: UK &amp; Ireland</w:t>
            </w:r>
          </w:p>
          <w:p w14:paraId="465C1D17" w14:textId="77777777" w:rsidR="00807EB1" w:rsidRPr="00807EB1" w:rsidRDefault="00807EB1" w:rsidP="00807EB1">
            <w:pPr>
              <w:pStyle w:val="ListParagraph"/>
              <w:numPr>
                <w:ilvl w:val="0"/>
                <w:numId w:val="10"/>
              </w:numPr>
              <w:rPr>
                <w:rFonts w:cs="Arial"/>
                <w:color w:val="000000" w:themeColor="text1"/>
                <w:szCs w:val="20"/>
                <w:lang w:val="en-GB"/>
              </w:rPr>
            </w:pPr>
            <w:r w:rsidRPr="00807EB1">
              <w:rPr>
                <w:rFonts w:cs="Arial"/>
                <w:color w:val="000000" w:themeColor="text1"/>
                <w:szCs w:val="20"/>
                <w:lang w:val="en-GB"/>
              </w:rPr>
              <w:t>Employee Population Influenced: 36,000</w:t>
            </w:r>
          </w:p>
          <w:p w14:paraId="56D4C994" w14:textId="77777777" w:rsidR="00807EB1" w:rsidRPr="00807EB1" w:rsidRDefault="00807EB1" w:rsidP="00807EB1">
            <w:pPr>
              <w:pStyle w:val="ListParagraph"/>
              <w:numPr>
                <w:ilvl w:val="0"/>
                <w:numId w:val="10"/>
              </w:numPr>
              <w:rPr>
                <w:rFonts w:cs="Arial"/>
                <w:color w:val="000000" w:themeColor="text1"/>
                <w:szCs w:val="20"/>
                <w:lang w:val="en-GB"/>
              </w:rPr>
            </w:pPr>
            <w:r w:rsidRPr="00807EB1">
              <w:rPr>
                <w:rFonts w:cs="Arial"/>
                <w:color w:val="000000" w:themeColor="text1"/>
                <w:szCs w:val="20"/>
                <w:lang w:val="en-GB"/>
              </w:rPr>
              <w:t>Key Interfaces: Stop Hunger, Culture &amp; Belonging, HRBP community, Employee Networks, Segment leadership teams, Site managers, Charity partners</w:t>
            </w:r>
          </w:p>
          <w:p w14:paraId="3C4624E2" w14:textId="4DD502FC" w:rsidR="00807EB1" w:rsidRPr="00807EB1" w:rsidRDefault="00807EB1" w:rsidP="00807EB1">
            <w:pPr>
              <w:pStyle w:val="ListParagraph"/>
              <w:numPr>
                <w:ilvl w:val="0"/>
                <w:numId w:val="10"/>
              </w:numPr>
              <w:rPr>
                <w:rFonts w:cs="Arial"/>
                <w:color w:val="000000" w:themeColor="text1"/>
                <w:szCs w:val="20"/>
                <w:lang w:val="en-GB"/>
              </w:rPr>
            </w:pPr>
            <w:r w:rsidRPr="00807EB1">
              <w:rPr>
                <w:rFonts w:cs="Arial"/>
                <w:color w:val="000000" w:themeColor="text1"/>
                <w:szCs w:val="20"/>
                <w:lang w:val="en-GB"/>
              </w:rPr>
              <w:t xml:space="preserve">Budget Influence: Support with accurate tracking of </w:t>
            </w:r>
            <w:r w:rsidR="004E7C45">
              <w:rPr>
                <w:rFonts w:cs="Arial"/>
                <w:color w:val="000000" w:themeColor="text1"/>
                <w:szCs w:val="20"/>
                <w:lang w:val="en-GB"/>
              </w:rPr>
              <w:t xml:space="preserve">social mobility metrics </w:t>
            </w:r>
            <w:r w:rsidRPr="00807EB1">
              <w:rPr>
                <w:rFonts w:cs="Arial"/>
                <w:color w:val="000000" w:themeColor="text1"/>
                <w:szCs w:val="20"/>
                <w:lang w:val="en-GB"/>
              </w:rPr>
              <w:t>and event spend</w:t>
            </w:r>
          </w:p>
          <w:p w14:paraId="6A01BE14" w14:textId="77777777" w:rsidR="00807EB1" w:rsidRPr="00807EB1" w:rsidRDefault="00807EB1" w:rsidP="00807EB1">
            <w:pPr>
              <w:pStyle w:val="ListParagraph"/>
              <w:numPr>
                <w:ilvl w:val="0"/>
                <w:numId w:val="10"/>
              </w:numPr>
              <w:rPr>
                <w:rFonts w:cs="Arial"/>
                <w:color w:val="000000" w:themeColor="text1"/>
                <w:szCs w:val="20"/>
                <w:lang w:val="en-GB"/>
              </w:rPr>
            </w:pPr>
            <w:r w:rsidRPr="00807EB1">
              <w:rPr>
                <w:rFonts w:cs="Arial"/>
                <w:color w:val="000000" w:themeColor="text1"/>
                <w:szCs w:val="20"/>
                <w:lang w:val="en-GB"/>
              </w:rPr>
              <w:t>Key Activities: Event coordination; network &amp; partner engagement; site</w:t>
            </w:r>
            <w:r w:rsidRPr="00807EB1">
              <w:rPr>
                <w:rFonts w:cs="Arial"/>
                <w:color w:val="000000" w:themeColor="text1"/>
                <w:szCs w:val="20"/>
                <w:lang w:val="en-GB"/>
              </w:rPr>
              <w:noBreakHyphen/>
              <w:t>level activation support; comms and storytelling; data reporting</w:t>
            </w:r>
          </w:p>
          <w:p w14:paraId="0EA1C6A5" w14:textId="77777777" w:rsidR="0095128F" w:rsidRPr="002D324E" w:rsidRDefault="0095128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tc>
          <w:tcPr>
            <w:tcW w:w="10375" w:type="dxa"/>
            <w:tcBorders>
              <w:top w:val="single" w:sz="4" w:space="0" w:color="auto"/>
              <w:bottom w:val="dotted" w:sz="4" w:space="0" w:color="auto"/>
            </w:tcBorders>
            <w:shd w:val="pct5" w:color="auto" w:fill="auto"/>
          </w:tcPr>
          <w:p w14:paraId="27EA6275" w14:textId="6D2DC443" w:rsidR="0095128F" w:rsidRPr="00A824A9" w:rsidRDefault="00554D93">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891192" w14:paraId="5EB76DDA" w14:textId="77777777" w:rsidTr="00891192">
        <w:tblPrEx>
          <w:tblBorders>
            <w:insideH w:val="single" w:sz="4" w:space="0" w:color="auto"/>
            <w:insideV w:val="single" w:sz="4" w:space="0" w:color="auto"/>
          </w:tblBorders>
        </w:tblPrEx>
        <w:tc>
          <w:tcPr>
            <w:tcW w:w="10375" w:type="dxa"/>
            <w:tcBorders>
              <w:top w:val="nil"/>
              <w:left w:val="single" w:sz="8" w:space="0" w:color="auto"/>
              <w:bottom w:val="single" w:sz="8" w:space="0" w:color="auto"/>
              <w:right w:val="single" w:sz="8" w:space="0" w:color="auto"/>
            </w:tcBorders>
            <w:vAlign w:val="center"/>
            <w:hideMark/>
          </w:tcPr>
          <w:p w14:paraId="459472E5" w14:textId="77777777" w:rsidR="00891192" w:rsidRDefault="00891192" w:rsidP="00891192">
            <w:pPr>
              <w:pStyle w:val="Puces4"/>
              <w:numPr>
                <w:ilvl w:val="0"/>
                <w:numId w:val="18"/>
              </w:numPr>
              <w:ind w:hanging="171"/>
              <w:rPr>
                <w:kern w:val="2"/>
                <w:szCs w:val="20"/>
                <w:lang w:eastAsia="en-GB"/>
              </w:rPr>
            </w:pPr>
            <w:r>
              <w:t>Proven coordination of complex events and project plans, including large-scale flagship events (e.g., the Stop Hunger Dinner).</w:t>
            </w:r>
          </w:p>
          <w:p w14:paraId="6B08878B" w14:textId="77777777" w:rsidR="00891192" w:rsidRDefault="00891192" w:rsidP="00891192">
            <w:pPr>
              <w:pStyle w:val="Puces4"/>
              <w:numPr>
                <w:ilvl w:val="0"/>
                <w:numId w:val="18"/>
              </w:numPr>
              <w:ind w:hanging="171"/>
            </w:pPr>
            <w:r>
              <w:t>Experience activating programmes across multiple sites/contracts, working with frontline teams to remove barriers and increase participation.</w:t>
            </w:r>
          </w:p>
          <w:p w14:paraId="4144BCDB" w14:textId="77777777" w:rsidR="00891192" w:rsidRDefault="00891192" w:rsidP="00891192">
            <w:pPr>
              <w:pStyle w:val="Puces4"/>
              <w:numPr>
                <w:ilvl w:val="0"/>
                <w:numId w:val="18"/>
              </w:numPr>
              <w:ind w:hanging="171"/>
            </w:pPr>
            <w:r>
              <w:t>Understanding of (or strong interest in) social mobility and community impact, with the ability to translate priorities into practical, place-based activity.</w:t>
            </w:r>
          </w:p>
          <w:p w14:paraId="050E03FD" w14:textId="77777777" w:rsidR="00891192" w:rsidRDefault="00891192" w:rsidP="00891192">
            <w:pPr>
              <w:pStyle w:val="Puces4"/>
              <w:numPr>
                <w:ilvl w:val="0"/>
                <w:numId w:val="18"/>
              </w:numPr>
              <w:ind w:hanging="171"/>
            </w:pPr>
            <w:r>
              <w:t>Strong stakeholder management across all levels (site managers, segment leadership, HR/Culture &amp; Belonging, employee networks and external partners).</w:t>
            </w:r>
          </w:p>
          <w:p w14:paraId="05BBC001" w14:textId="77777777" w:rsidR="00891192" w:rsidRDefault="00891192" w:rsidP="00891192">
            <w:pPr>
              <w:pStyle w:val="Puces4"/>
              <w:numPr>
                <w:ilvl w:val="0"/>
                <w:numId w:val="18"/>
              </w:numPr>
              <w:ind w:hanging="171"/>
            </w:pPr>
            <w:r>
              <w:t>Relationship management with external partners (charities, NGOs, and community groups; schools/colleges where relevant), including coordination, responsiveness and professionalism.</w:t>
            </w:r>
          </w:p>
          <w:p w14:paraId="0EC19798" w14:textId="77777777" w:rsidR="00891192" w:rsidRDefault="00891192" w:rsidP="00891192">
            <w:pPr>
              <w:pStyle w:val="Puces4"/>
              <w:numPr>
                <w:ilvl w:val="0"/>
                <w:numId w:val="18"/>
              </w:numPr>
              <w:ind w:hanging="171"/>
            </w:pPr>
            <w:r>
              <w:t>Clear, confident communication and impactful storytelling to promote opportunities and celebrate outcomes.</w:t>
            </w:r>
          </w:p>
          <w:p w14:paraId="33E162A8" w14:textId="77777777" w:rsidR="00891192" w:rsidRDefault="00891192" w:rsidP="00891192">
            <w:pPr>
              <w:pStyle w:val="Puces4"/>
              <w:numPr>
                <w:ilvl w:val="0"/>
                <w:numId w:val="18"/>
              </w:numPr>
              <w:ind w:hanging="171"/>
            </w:pPr>
            <w:r>
              <w:t>Strong organisation and attention to detail, able to manage multiple workstreams and deadlines concurrently.</w:t>
            </w:r>
          </w:p>
          <w:p w14:paraId="6892A8F6" w14:textId="77777777" w:rsidR="00891192" w:rsidRDefault="00891192" w:rsidP="00891192">
            <w:pPr>
              <w:pStyle w:val="Puces4"/>
              <w:numPr>
                <w:ilvl w:val="0"/>
                <w:numId w:val="18"/>
              </w:numPr>
              <w:ind w:hanging="171"/>
            </w:pPr>
            <w:r>
              <w:t>Comfortable with data capture and reporting (e.g., participation, volunteering hours, fundraising totals and social mobility outputs/outcomes) with a focus on accuracy and consistency.</w:t>
            </w:r>
          </w:p>
          <w:p w14:paraId="5D68CEB7" w14:textId="77777777" w:rsidR="00891192" w:rsidRDefault="00891192" w:rsidP="00891192">
            <w:pPr>
              <w:pStyle w:val="Puces4"/>
              <w:numPr>
                <w:ilvl w:val="0"/>
                <w:numId w:val="18"/>
              </w:numPr>
              <w:ind w:hanging="171"/>
            </w:pPr>
            <w:r>
              <w:t>Inclusive, people-centred approach—able to create opportunities that are accessible and engaging for diverse colleague groups.</w:t>
            </w:r>
          </w:p>
          <w:p w14:paraId="18CF2B28" w14:textId="77777777" w:rsidR="00891192" w:rsidRDefault="00891192" w:rsidP="00891192">
            <w:pPr>
              <w:pStyle w:val="Puces4"/>
              <w:numPr>
                <w:ilvl w:val="0"/>
                <w:numId w:val="18"/>
              </w:numPr>
              <w:ind w:hanging="171"/>
            </w:pPr>
            <w:r>
              <w:t>Willingness to travel to sites and support events as required.</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6"/>
      </w:tblGrid>
      <w:tr w:rsidR="000B4AA1" w:rsidRPr="00A824A9" w14:paraId="466A4B5E" w14:textId="77777777" w:rsidTr="00395F09">
        <w:trPr>
          <w:trHeight w:val="600"/>
        </w:trPr>
        <w:tc>
          <w:tcPr>
            <w:tcW w:w="10466"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395F09">
        <w:trPr>
          <w:trHeight w:val="4631"/>
        </w:trPr>
        <w:tc>
          <w:tcPr>
            <w:tcW w:w="10466" w:type="dxa"/>
            <w:tcBorders>
              <w:top w:val="dotted" w:sz="4" w:space="0" w:color="auto"/>
              <w:left w:val="single" w:sz="2" w:space="0" w:color="auto"/>
              <w:bottom w:val="single" w:sz="4" w:space="0" w:color="auto"/>
              <w:right w:val="single" w:sz="4" w:space="0" w:color="auto"/>
            </w:tcBorders>
          </w:tcPr>
          <w:p w14:paraId="732664BA" w14:textId="54BC728C" w:rsidR="000B4AA1" w:rsidRDefault="000B4AA1" w:rsidP="00DB2C8A">
            <w:pPr>
              <w:pStyle w:val="ListParagraph"/>
              <w:ind w:left="360"/>
              <w:jc w:val="left"/>
              <w:rPr>
                <w:rFonts w:cs="Arial"/>
                <w:color w:val="000000" w:themeColor="text1"/>
                <w:szCs w:val="20"/>
              </w:rPr>
            </w:pPr>
          </w:p>
          <w:p w14:paraId="191F1442" w14:textId="5C2A3D5C" w:rsidR="006D5785" w:rsidRPr="006D5785" w:rsidRDefault="0087386A" w:rsidP="006D5785">
            <w:pPr>
              <w:jc w:val="left"/>
              <w:rPr>
                <w:rFonts w:cs="Arial"/>
                <w:color w:val="000000" w:themeColor="text1"/>
                <w:szCs w:val="20"/>
              </w:rPr>
            </w:pPr>
            <w:r w:rsidRPr="0087386A">
              <w:rPr>
                <w:rFonts w:cs="Arial"/>
                <w:noProof/>
                <w:color w:val="000000" w:themeColor="text1"/>
                <w:szCs w:val="20"/>
              </w:rPr>
              <w:drawing>
                <wp:inline distT="0" distB="0" distL="0" distR="0" wp14:anchorId="5B80C73D" wp14:editId="766860AC">
                  <wp:extent cx="6508750" cy="2810510"/>
                  <wp:effectExtent l="0" t="0" r="6350" b="8890"/>
                  <wp:docPr id="191598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82493" name=""/>
                          <pic:cNvPicPr/>
                        </pic:nvPicPr>
                        <pic:blipFill>
                          <a:blip r:embed="rId12"/>
                          <a:stretch>
                            <a:fillRect/>
                          </a:stretch>
                        </pic:blipFill>
                        <pic:spPr>
                          <a:xfrm>
                            <a:off x="0" y="0"/>
                            <a:ext cx="6508750" cy="2810510"/>
                          </a:xfrm>
                          <a:prstGeom prst="rect">
                            <a:avLst/>
                          </a:prstGeom>
                        </pic:spPr>
                      </pic:pic>
                    </a:graphicData>
                  </a:graphic>
                </wp:inline>
              </w:drawing>
            </w:r>
          </w:p>
        </w:tc>
      </w:tr>
    </w:tbl>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2DBFD2B1" w:rsidR="0023185C" w:rsidRPr="00DB2C8A" w:rsidRDefault="0023185C" w:rsidP="00DB2C8A">
            <w:pPr>
              <w:jc w:val="left"/>
              <w:rPr>
                <w:rFonts w:cs="Arial"/>
                <w:szCs w:val="20"/>
              </w:rPr>
            </w:pPr>
          </w:p>
        </w:tc>
      </w:tr>
    </w:tbl>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4DCAAB36" w14:textId="5C77686A"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BA7034">
        <w:rPr>
          <w:rFonts w:cs="Arial"/>
          <w:color w:val="002060"/>
          <w:szCs w:val="20"/>
        </w:rPr>
        <w:t>23</w:t>
      </w:r>
      <w:r w:rsidR="00907EB3">
        <w:rPr>
          <w:rFonts w:cs="Arial"/>
          <w:color w:val="002060"/>
          <w:szCs w:val="20"/>
        </w:rPr>
        <w:t>/0</w:t>
      </w:r>
      <w:r w:rsidR="00BA7034">
        <w:rPr>
          <w:rFonts w:cs="Arial"/>
          <w:color w:val="002060"/>
          <w:szCs w:val="20"/>
        </w:rPr>
        <w:t>4</w:t>
      </w:r>
      <w:r w:rsidR="0067224C">
        <w:rPr>
          <w:rFonts w:cs="Arial"/>
          <w:color w:val="002060"/>
          <w:szCs w:val="20"/>
        </w:rPr>
        <w:t>/202</w:t>
      </w:r>
      <w:r w:rsidR="00355A5C">
        <w:rPr>
          <w:rFonts w:cs="Arial"/>
          <w:color w:val="002060"/>
          <w:szCs w:val="20"/>
        </w:rPr>
        <w:t>6</w:t>
      </w:r>
    </w:p>
    <w:p w14:paraId="73170703" w14:textId="77777777" w:rsidR="005978BF" w:rsidRPr="00F94472" w:rsidRDefault="005978BF" w:rsidP="005978BF">
      <w:pPr>
        <w:tabs>
          <w:tab w:val="left" w:pos="5670"/>
        </w:tabs>
        <w:rPr>
          <w:rFonts w:cs="Arial"/>
          <w:color w:val="002060"/>
          <w:szCs w:val="20"/>
        </w:rPr>
      </w:pPr>
    </w:p>
    <w:p w14:paraId="03B9BB84" w14:textId="3E6B126C"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r>
      <w:r w:rsidR="00BC3059">
        <w:rPr>
          <w:rFonts w:cs="Arial"/>
          <w:color w:val="002060"/>
          <w:szCs w:val="20"/>
        </w:rPr>
        <w:t>Camille Thobois</w:t>
      </w:r>
      <w:r w:rsidRPr="00F94472">
        <w:rPr>
          <w:rFonts w:cs="Arial"/>
          <w:color w:val="002060"/>
          <w:szCs w:val="20"/>
        </w:rPr>
        <w:fldChar w:fldCharType="begin">
          <w:ffData>
            <w:name w:val="Text65"/>
            <w:enabled/>
            <w:calcOnExit w:val="0"/>
            <w:textInput/>
          </w:ffData>
        </w:fldChar>
      </w:r>
      <w:bookmarkStart w:id="2"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3"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582138C4" w14:textId="3A803943" w:rsidR="00A824A9" w:rsidRPr="00A824A9" w:rsidRDefault="005978BF" w:rsidP="00BA1DDB">
      <w:pPr>
        <w:tabs>
          <w:tab w:val="left" w:pos="5670"/>
        </w:tabs>
        <w:rPr>
          <w:rFonts w:cs="Arial"/>
          <w:szCs w:val="20"/>
        </w:rPr>
      </w:pPr>
      <w:r w:rsidRPr="00F94472">
        <w:rPr>
          <w:rFonts w:cs="Arial"/>
          <w:color w:val="002060"/>
          <w:szCs w:val="20"/>
        </w:rPr>
        <w:t>Job holder</w:t>
      </w:r>
      <w:r w:rsidRPr="00F94472">
        <w:rPr>
          <w:rFonts w:cs="Arial"/>
          <w:color w:val="002060"/>
          <w:szCs w:val="20"/>
        </w:rPr>
        <w:tab/>
        <w:t>Immediate Manage</w:t>
      </w:r>
      <w:r w:rsidR="00BA1DDB">
        <w:rPr>
          <w:rFonts w:cs="Arial"/>
          <w:color w:val="002060"/>
          <w:szCs w:val="20"/>
        </w:rPr>
        <w:t>r</w:t>
      </w: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6E45" w14:textId="77777777" w:rsidR="007F783B" w:rsidRDefault="007F783B">
      <w:r>
        <w:separator/>
      </w:r>
    </w:p>
  </w:endnote>
  <w:endnote w:type="continuationSeparator" w:id="0">
    <w:p w14:paraId="605B3C78" w14:textId="77777777" w:rsidR="007F783B" w:rsidRDefault="007F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5F2D" w14:textId="77777777" w:rsidR="007F783B" w:rsidRDefault="007F783B">
      <w:r>
        <w:separator/>
      </w:r>
    </w:p>
  </w:footnote>
  <w:footnote w:type="continuationSeparator" w:id="0">
    <w:p w14:paraId="70FFDF8E" w14:textId="77777777" w:rsidR="007F783B" w:rsidRDefault="007F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8846261" o:spid="_x0000_i1025" type="#_x0000_t75" style="width:7pt;height:10pt;visibility:visibl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2E005D8"/>
    <w:multiLevelType w:val="multilevel"/>
    <w:tmpl w:val="C95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3E47"/>
    <w:multiLevelType w:val="multilevel"/>
    <w:tmpl w:val="E5A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442D5"/>
    <w:multiLevelType w:val="hybridMultilevel"/>
    <w:tmpl w:val="41DE4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DA1DB2"/>
    <w:multiLevelType w:val="hybridMultilevel"/>
    <w:tmpl w:val="BB762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0097A"/>
    <w:multiLevelType w:val="hybridMultilevel"/>
    <w:tmpl w:val="BCE87FD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82791"/>
    <w:multiLevelType w:val="multilevel"/>
    <w:tmpl w:val="2774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152B3"/>
    <w:multiLevelType w:val="hybridMultilevel"/>
    <w:tmpl w:val="DFDE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42CFF"/>
    <w:multiLevelType w:val="multilevel"/>
    <w:tmpl w:val="D342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789D"/>
    <w:multiLevelType w:val="multilevel"/>
    <w:tmpl w:val="C33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937B32"/>
    <w:multiLevelType w:val="multilevel"/>
    <w:tmpl w:val="1F52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06BD5"/>
    <w:multiLevelType w:val="multilevel"/>
    <w:tmpl w:val="322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C3DD8"/>
    <w:multiLevelType w:val="multilevel"/>
    <w:tmpl w:val="9FB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461CB"/>
    <w:multiLevelType w:val="multilevel"/>
    <w:tmpl w:val="DCB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88648252">
    <w:abstractNumId w:val="11"/>
  </w:num>
  <w:num w:numId="2" w16cid:durableId="622349277">
    <w:abstractNumId w:val="17"/>
  </w:num>
  <w:num w:numId="3" w16cid:durableId="550311602">
    <w:abstractNumId w:val="16"/>
  </w:num>
  <w:num w:numId="4" w16cid:durableId="1442384864">
    <w:abstractNumId w:val="10"/>
  </w:num>
  <w:num w:numId="5" w16cid:durableId="1488740681">
    <w:abstractNumId w:val="0"/>
  </w:num>
  <w:num w:numId="6" w16cid:durableId="709652632">
    <w:abstractNumId w:val="5"/>
  </w:num>
  <w:num w:numId="7" w16cid:durableId="524445450">
    <w:abstractNumId w:val="7"/>
  </w:num>
  <w:num w:numId="8" w16cid:durableId="522011418">
    <w:abstractNumId w:val="3"/>
  </w:num>
  <w:num w:numId="9" w16cid:durableId="405614201">
    <w:abstractNumId w:val="4"/>
  </w:num>
  <w:num w:numId="10" w16cid:durableId="1111777136">
    <w:abstractNumId w:val="15"/>
  </w:num>
  <w:num w:numId="11" w16cid:durableId="1816920092">
    <w:abstractNumId w:val="12"/>
  </w:num>
  <w:num w:numId="12" w16cid:durableId="1951277427">
    <w:abstractNumId w:val="2"/>
  </w:num>
  <w:num w:numId="13" w16cid:durableId="1023824504">
    <w:abstractNumId w:val="1"/>
  </w:num>
  <w:num w:numId="14" w16cid:durableId="1052801749">
    <w:abstractNumId w:val="9"/>
  </w:num>
  <w:num w:numId="15" w16cid:durableId="1032463044">
    <w:abstractNumId w:val="13"/>
  </w:num>
  <w:num w:numId="16" w16cid:durableId="803237815">
    <w:abstractNumId w:val="8"/>
  </w:num>
  <w:num w:numId="17" w16cid:durableId="1287198067">
    <w:abstractNumId w:val="14"/>
  </w:num>
  <w:num w:numId="18" w16cid:durableId="15652934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3AB"/>
    <w:rsid w:val="00001444"/>
    <w:rsid w:val="000027D1"/>
    <w:rsid w:val="00002C7E"/>
    <w:rsid w:val="000037B1"/>
    <w:rsid w:val="00003B09"/>
    <w:rsid w:val="000041BA"/>
    <w:rsid w:val="000068EE"/>
    <w:rsid w:val="00006CB2"/>
    <w:rsid w:val="00007EF6"/>
    <w:rsid w:val="00007F17"/>
    <w:rsid w:val="00010B07"/>
    <w:rsid w:val="00012FA9"/>
    <w:rsid w:val="000136B1"/>
    <w:rsid w:val="00014E1E"/>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240F"/>
    <w:rsid w:val="00043633"/>
    <w:rsid w:val="00044A56"/>
    <w:rsid w:val="00045676"/>
    <w:rsid w:val="00050156"/>
    <w:rsid w:val="00050E0D"/>
    <w:rsid w:val="00050E14"/>
    <w:rsid w:val="00050FB6"/>
    <w:rsid w:val="000511BA"/>
    <w:rsid w:val="0005177A"/>
    <w:rsid w:val="000523B8"/>
    <w:rsid w:val="00053409"/>
    <w:rsid w:val="000543A2"/>
    <w:rsid w:val="0005449E"/>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2FBD"/>
    <w:rsid w:val="000C488F"/>
    <w:rsid w:val="000C665E"/>
    <w:rsid w:val="000D21EE"/>
    <w:rsid w:val="000D30B3"/>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5B63"/>
    <w:rsid w:val="0011636C"/>
    <w:rsid w:val="00116692"/>
    <w:rsid w:val="001168B4"/>
    <w:rsid w:val="0011779E"/>
    <w:rsid w:val="00121C8C"/>
    <w:rsid w:val="0012373B"/>
    <w:rsid w:val="00124A5B"/>
    <w:rsid w:val="00125FF5"/>
    <w:rsid w:val="00130233"/>
    <w:rsid w:val="0013050E"/>
    <w:rsid w:val="00130563"/>
    <w:rsid w:val="001317D5"/>
    <w:rsid w:val="001329C0"/>
    <w:rsid w:val="00132ECF"/>
    <w:rsid w:val="001330C4"/>
    <w:rsid w:val="001351AE"/>
    <w:rsid w:val="00135F4E"/>
    <w:rsid w:val="001360CE"/>
    <w:rsid w:val="00137D27"/>
    <w:rsid w:val="001407FF"/>
    <w:rsid w:val="00140BCE"/>
    <w:rsid w:val="00140C7A"/>
    <w:rsid w:val="001426DB"/>
    <w:rsid w:val="00143839"/>
    <w:rsid w:val="00143F9A"/>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7A6"/>
    <w:rsid w:val="00172F23"/>
    <w:rsid w:val="0017726F"/>
    <w:rsid w:val="00181EC1"/>
    <w:rsid w:val="00183326"/>
    <w:rsid w:val="001835C3"/>
    <w:rsid w:val="001851AE"/>
    <w:rsid w:val="00187A74"/>
    <w:rsid w:val="00193D6D"/>
    <w:rsid w:val="00193E1E"/>
    <w:rsid w:val="001941D7"/>
    <w:rsid w:val="001942CC"/>
    <w:rsid w:val="001953D8"/>
    <w:rsid w:val="001955F2"/>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7670"/>
    <w:rsid w:val="001C0932"/>
    <w:rsid w:val="001C167E"/>
    <w:rsid w:val="001C21B9"/>
    <w:rsid w:val="001C437E"/>
    <w:rsid w:val="001C44E8"/>
    <w:rsid w:val="001C6D4D"/>
    <w:rsid w:val="001D25EB"/>
    <w:rsid w:val="001D334B"/>
    <w:rsid w:val="001D44A8"/>
    <w:rsid w:val="001D4B88"/>
    <w:rsid w:val="001D640E"/>
    <w:rsid w:val="001D697E"/>
    <w:rsid w:val="001D761F"/>
    <w:rsid w:val="001D7B0E"/>
    <w:rsid w:val="001E00C3"/>
    <w:rsid w:val="001E177D"/>
    <w:rsid w:val="001E3329"/>
    <w:rsid w:val="001E3504"/>
    <w:rsid w:val="001E3B5E"/>
    <w:rsid w:val="001E5E28"/>
    <w:rsid w:val="001E6880"/>
    <w:rsid w:val="001F054B"/>
    <w:rsid w:val="001F10BB"/>
    <w:rsid w:val="001F18BC"/>
    <w:rsid w:val="001F221A"/>
    <w:rsid w:val="001F3471"/>
    <w:rsid w:val="001F3513"/>
    <w:rsid w:val="001F7C4D"/>
    <w:rsid w:val="001F7FF0"/>
    <w:rsid w:val="00200793"/>
    <w:rsid w:val="00200825"/>
    <w:rsid w:val="00200900"/>
    <w:rsid w:val="00201566"/>
    <w:rsid w:val="00201D2E"/>
    <w:rsid w:val="00204238"/>
    <w:rsid w:val="00204CEE"/>
    <w:rsid w:val="002062A2"/>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639F"/>
    <w:rsid w:val="0023730C"/>
    <w:rsid w:val="00237340"/>
    <w:rsid w:val="002375FC"/>
    <w:rsid w:val="00237A74"/>
    <w:rsid w:val="00241EAF"/>
    <w:rsid w:val="00242072"/>
    <w:rsid w:val="002469C0"/>
    <w:rsid w:val="0025048D"/>
    <w:rsid w:val="002512CD"/>
    <w:rsid w:val="00251F03"/>
    <w:rsid w:val="002523C3"/>
    <w:rsid w:val="00252E11"/>
    <w:rsid w:val="0025307E"/>
    <w:rsid w:val="002535ED"/>
    <w:rsid w:val="002562E9"/>
    <w:rsid w:val="00256AD3"/>
    <w:rsid w:val="0025738A"/>
    <w:rsid w:val="0026050F"/>
    <w:rsid w:val="00261EE8"/>
    <w:rsid w:val="00265B12"/>
    <w:rsid w:val="00266A96"/>
    <w:rsid w:val="0026769B"/>
    <w:rsid w:val="00270821"/>
    <w:rsid w:val="00271970"/>
    <w:rsid w:val="002735A3"/>
    <w:rsid w:val="0027422B"/>
    <w:rsid w:val="00274812"/>
    <w:rsid w:val="002751C2"/>
    <w:rsid w:val="002760F4"/>
    <w:rsid w:val="00277E93"/>
    <w:rsid w:val="002807DD"/>
    <w:rsid w:val="00281C3C"/>
    <w:rsid w:val="00281FEF"/>
    <w:rsid w:val="0028214E"/>
    <w:rsid w:val="002830BA"/>
    <w:rsid w:val="0028396E"/>
    <w:rsid w:val="002849ED"/>
    <w:rsid w:val="00284B5B"/>
    <w:rsid w:val="0028567C"/>
    <w:rsid w:val="00285909"/>
    <w:rsid w:val="00285D49"/>
    <w:rsid w:val="002860DE"/>
    <w:rsid w:val="0028663E"/>
    <w:rsid w:val="00286722"/>
    <w:rsid w:val="002900A2"/>
    <w:rsid w:val="002914CC"/>
    <w:rsid w:val="00291933"/>
    <w:rsid w:val="00291A46"/>
    <w:rsid w:val="00293214"/>
    <w:rsid w:val="0029398B"/>
    <w:rsid w:val="002A1519"/>
    <w:rsid w:val="002A18DE"/>
    <w:rsid w:val="002A196C"/>
    <w:rsid w:val="002A1B57"/>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24E"/>
    <w:rsid w:val="002D3B73"/>
    <w:rsid w:val="002D5B5E"/>
    <w:rsid w:val="002D7478"/>
    <w:rsid w:val="002D769F"/>
    <w:rsid w:val="002E05F3"/>
    <w:rsid w:val="002E1392"/>
    <w:rsid w:val="002E304F"/>
    <w:rsid w:val="002E6F50"/>
    <w:rsid w:val="002E6FD6"/>
    <w:rsid w:val="002E7B4F"/>
    <w:rsid w:val="002F0417"/>
    <w:rsid w:val="002F07CA"/>
    <w:rsid w:val="002F1330"/>
    <w:rsid w:val="002F16CE"/>
    <w:rsid w:val="002F1AB7"/>
    <w:rsid w:val="002F1B27"/>
    <w:rsid w:val="002F2A77"/>
    <w:rsid w:val="002F2EBC"/>
    <w:rsid w:val="002F5C9F"/>
    <w:rsid w:val="002F72F4"/>
    <w:rsid w:val="00300835"/>
    <w:rsid w:val="00300937"/>
    <w:rsid w:val="003019C9"/>
    <w:rsid w:val="0030219C"/>
    <w:rsid w:val="003023B6"/>
    <w:rsid w:val="00303A58"/>
    <w:rsid w:val="00304717"/>
    <w:rsid w:val="00305530"/>
    <w:rsid w:val="00305947"/>
    <w:rsid w:val="003059BA"/>
    <w:rsid w:val="003063A1"/>
    <w:rsid w:val="00306F7E"/>
    <w:rsid w:val="00310D37"/>
    <w:rsid w:val="0031125E"/>
    <w:rsid w:val="00311F64"/>
    <w:rsid w:val="0031211D"/>
    <w:rsid w:val="0031216C"/>
    <w:rsid w:val="00312C98"/>
    <w:rsid w:val="0031323C"/>
    <w:rsid w:val="00315425"/>
    <w:rsid w:val="00317AC7"/>
    <w:rsid w:val="003210DC"/>
    <w:rsid w:val="00322908"/>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A5C"/>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5CA3"/>
    <w:rsid w:val="00387F94"/>
    <w:rsid w:val="0039169D"/>
    <w:rsid w:val="00393437"/>
    <w:rsid w:val="00393AF3"/>
    <w:rsid w:val="00394D02"/>
    <w:rsid w:val="00395D0B"/>
    <w:rsid w:val="00395F09"/>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67A9"/>
    <w:rsid w:val="003C72D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68FD"/>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352"/>
    <w:rsid w:val="004364DD"/>
    <w:rsid w:val="0043668C"/>
    <w:rsid w:val="0043672A"/>
    <w:rsid w:val="00437791"/>
    <w:rsid w:val="004379BF"/>
    <w:rsid w:val="00440D61"/>
    <w:rsid w:val="00442F91"/>
    <w:rsid w:val="0044302B"/>
    <w:rsid w:val="00445D57"/>
    <w:rsid w:val="004461D8"/>
    <w:rsid w:val="00446815"/>
    <w:rsid w:val="0044715C"/>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2A84"/>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150"/>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E7C45"/>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161F"/>
    <w:rsid w:val="005135FA"/>
    <w:rsid w:val="005160A7"/>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35E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77C73"/>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0E46"/>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5C03"/>
    <w:rsid w:val="005C62FF"/>
    <w:rsid w:val="005C6DA7"/>
    <w:rsid w:val="005C7D0A"/>
    <w:rsid w:val="005D22A5"/>
    <w:rsid w:val="005D26B6"/>
    <w:rsid w:val="005D3368"/>
    <w:rsid w:val="005D3FDD"/>
    <w:rsid w:val="005D40A0"/>
    <w:rsid w:val="005D4A05"/>
    <w:rsid w:val="005D5B3E"/>
    <w:rsid w:val="005D69A2"/>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2F3C"/>
    <w:rsid w:val="00604786"/>
    <w:rsid w:val="00606C05"/>
    <w:rsid w:val="00607B7E"/>
    <w:rsid w:val="006101FE"/>
    <w:rsid w:val="00611FFA"/>
    <w:rsid w:val="00612681"/>
    <w:rsid w:val="006131C7"/>
    <w:rsid w:val="0061634B"/>
    <w:rsid w:val="006229FE"/>
    <w:rsid w:val="0062462C"/>
    <w:rsid w:val="0062468B"/>
    <w:rsid w:val="0062474C"/>
    <w:rsid w:val="00625221"/>
    <w:rsid w:val="00626C65"/>
    <w:rsid w:val="00627211"/>
    <w:rsid w:val="00633879"/>
    <w:rsid w:val="00633D07"/>
    <w:rsid w:val="00633DB9"/>
    <w:rsid w:val="00634580"/>
    <w:rsid w:val="006345B7"/>
    <w:rsid w:val="00634C3A"/>
    <w:rsid w:val="00635706"/>
    <w:rsid w:val="00635DB2"/>
    <w:rsid w:val="0063624E"/>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2983"/>
    <w:rsid w:val="00664996"/>
    <w:rsid w:val="0066505F"/>
    <w:rsid w:val="006659CD"/>
    <w:rsid w:val="006667D6"/>
    <w:rsid w:val="00667132"/>
    <w:rsid w:val="0067063A"/>
    <w:rsid w:val="00670A53"/>
    <w:rsid w:val="0067111B"/>
    <w:rsid w:val="0067224C"/>
    <w:rsid w:val="006728A4"/>
    <w:rsid w:val="00672F3E"/>
    <w:rsid w:val="00673B99"/>
    <w:rsid w:val="0067414E"/>
    <w:rsid w:val="0067465B"/>
    <w:rsid w:val="00675A34"/>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AF"/>
    <w:rsid w:val="006A79E3"/>
    <w:rsid w:val="006B0158"/>
    <w:rsid w:val="006B251C"/>
    <w:rsid w:val="006B3737"/>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039"/>
    <w:rsid w:val="007017A0"/>
    <w:rsid w:val="007027B7"/>
    <w:rsid w:val="00705B34"/>
    <w:rsid w:val="00706F0E"/>
    <w:rsid w:val="0070741C"/>
    <w:rsid w:val="00707A55"/>
    <w:rsid w:val="00707D60"/>
    <w:rsid w:val="007112EB"/>
    <w:rsid w:val="00716AE1"/>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5435"/>
    <w:rsid w:val="0076799F"/>
    <w:rsid w:val="00772379"/>
    <w:rsid w:val="00772A50"/>
    <w:rsid w:val="007731E6"/>
    <w:rsid w:val="0077485E"/>
    <w:rsid w:val="00774C09"/>
    <w:rsid w:val="00775622"/>
    <w:rsid w:val="0077661F"/>
    <w:rsid w:val="007771B7"/>
    <w:rsid w:val="00780A9C"/>
    <w:rsid w:val="00780DC3"/>
    <w:rsid w:val="00780F04"/>
    <w:rsid w:val="007816A7"/>
    <w:rsid w:val="007824DC"/>
    <w:rsid w:val="007840F6"/>
    <w:rsid w:val="00785FA5"/>
    <w:rsid w:val="00786899"/>
    <w:rsid w:val="00786DED"/>
    <w:rsid w:val="007900C6"/>
    <w:rsid w:val="007906F7"/>
    <w:rsid w:val="00791D61"/>
    <w:rsid w:val="007923E2"/>
    <w:rsid w:val="00792618"/>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3315"/>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2A2D"/>
    <w:rsid w:val="007F4E52"/>
    <w:rsid w:val="007F5118"/>
    <w:rsid w:val="007F74D5"/>
    <w:rsid w:val="007F783B"/>
    <w:rsid w:val="007F7867"/>
    <w:rsid w:val="007F79BC"/>
    <w:rsid w:val="00800A60"/>
    <w:rsid w:val="00801591"/>
    <w:rsid w:val="0080174E"/>
    <w:rsid w:val="00803EBB"/>
    <w:rsid w:val="00807EB1"/>
    <w:rsid w:val="00811A55"/>
    <w:rsid w:val="00811AB8"/>
    <w:rsid w:val="0081283A"/>
    <w:rsid w:val="0081496A"/>
    <w:rsid w:val="008150DC"/>
    <w:rsid w:val="00815DE2"/>
    <w:rsid w:val="008161AA"/>
    <w:rsid w:val="00816D22"/>
    <w:rsid w:val="008179FB"/>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10F1"/>
    <w:rsid w:val="008335C9"/>
    <w:rsid w:val="00836C53"/>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5E44"/>
    <w:rsid w:val="00857702"/>
    <w:rsid w:val="00857915"/>
    <w:rsid w:val="00857A85"/>
    <w:rsid w:val="00860938"/>
    <w:rsid w:val="008613FC"/>
    <w:rsid w:val="00861453"/>
    <w:rsid w:val="00862C9D"/>
    <w:rsid w:val="00862D57"/>
    <w:rsid w:val="008630B1"/>
    <w:rsid w:val="00863612"/>
    <w:rsid w:val="0086377E"/>
    <w:rsid w:val="0086411B"/>
    <w:rsid w:val="0086414B"/>
    <w:rsid w:val="00870441"/>
    <w:rsid w:val="0087180C"/>
    <w:rsid w:val="00872E11"/>
    <w:rsid w:val="0087386A"/>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192"/>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396B"/>
    <w:rsid w:val="008C5574"/>
    <w:rsid w:val="008C68F3"/>
    <w:rsid w:val="008C6AAF"/>
    <w:rsid w:val="008C6AD8"/>
    <w:rsid w:val="008C702C"/>
    <w:rsid w:val="008D0187"/>
    <w:rsid w:val="008D0AD2"/>
    <w:rsid w:val="008D1866"/>
    <w:rsid w:val="008D302D"/>
    <w:rsid w:val="008D3366"/>
    <w:rsid w:val="008D419E"/>
    <w:rsid w:val="008D4F0F"/>
    <w:rsid w:val="008D584B"/>
    <w:rsid w:val="008D7136"/>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2C1F"/>
    <w:rsid w:val="00904161"/>
    <w:rsid w:val="00906D80"/>
    <w:rsid w:val="009073A5"/>
    <w:rsid w:val="00907EB3"/>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5C5F"/>
    <w:rsid w:val="00936196"/>
    <w:rsid w:val="00936953"/>
    <w:rsid w:val="009378A9"/>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141B"/>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337"/>
    <w:rsid w:val="009E7EAD"/>
    <w:rsid w:val="009E7F64"/>
    <w:rsid w:val="009F172C"/>
    <w:rsid w:val="009F2AEB"/>
    <w:rsid w:val="009F2C39"/>
    <w:rsid w:val="009F2F13"/>
    <w:rsid w:val="009F399A"/>
    <w:rsid w:val="009F40C6"/>
    <w:rsid w:val="009F4C3A"/>
    <w:rsid w:val="009F4E24"/>
    <w:rsid w:val="009F655B"/>
    <w:rsid w:val="009F7066"/>
    <w:rsid w:val="009F7D2D"/>
    <w:rsid w:val="009F7F3B"/>
    <w:rsid w:val="00A00A11"/>
    <w:rsid w:val="00A00AD8"/>
    <w:rsid w:val="00A00B17"/>
    <w:rsid w:val="00A01842"/>
    <w:rsid w:val="00A027E5"/>
    <w:rsid w:val="00A102C8"/>
    <w:rsid w:val="00A108C8"/>
    <w:rsid w:val="00A1250E"/>
    <w:rsid w:val="00A12C02"/>
    <w:rsid w:val="00A13CC8"/>
    <w:rsid w:val="00A14B94"/>
    <w:rsid w:val="00A14D22"/>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2D1D"/>
    <w:rsid w:val="00A73306"/>
    <w:rsid w:val="00A748ED"/>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B3C"/>
    <w:rsid w:val="00AA3D2B"/>
    <w:rsid w:val="00AA4DFC"/>
    <w:rsid w:val="00AA576A"/>
    <w:rsid w:val="00AA649B"/>
    <w:rsid w:val="00AA7217"/>
    <w:rsid w:val="00AB1ECE"/>
    <w:rsid w:val="00AB2CA3"/>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64C"/>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7AC"/>
    <w:rsid w:val="00B40E5A"/>
    <w:rsid w:val="00B410B8"/>
    <w:rsid w:val="00B41981"/>
    <w:rsid w:val="00B41D33"/>
    <w:rsid w:val="00B4325B"/>
    <w:rsid w:val="00B43C0D"/>
    <w:rsid w:val="00B44812"/>
    <w:rsid w:val="00B449B3"/>
    <w:rsid w:val="00B45A91"/>
    <w:rsid w:val="00B45CAC"/>
    <w:rsid w:val="00B504AA"/>
    <w:rsid w:val="00B5062C"/>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2B9"/>
    <w:rsid w:val="00B827A6"/>
    <w:rsid w:val="00B82BF1"/>
    <w:rsid w:val="00B83929"/>
    <w:rsid w:val="00B83947"/>
    <w:rsid w:val="00B83C9F"/>
    <w:rsid w:val="00B8481E"/>
    <w:rsid w:val="00B84CE5"/>
    <w:rsid w:val="00B90449"/>
    <w:rsid w:val="00B90B60"/>
    <w:rsid w:val="00B90C93"/>
    <w:rsid w:val="00B91862"/>
    <w:rsid w:val="00B92723"/>
    <w:rsid w:val="00B9311C"/>
    <w:rsid w:val="00B93BBE"/>
    <w:rsid w:val="00B93C17"/>
    <w:rsid w:val="00B94F31"/>
    <w:rsid w:val="00B94F9E"/>
    <w:rsid w:val="00B95BEB"/>
    <w:rsid w:val="00B95E26"/>
    <w:rsid w:val="00B97D6D"/>
    <w:rsid w:val="00BA1329"/>
    <w:rsid w:val="00BA1384"/>
    <w:rsid w:val="00BA1DDB"/>
    <w:rsid w:val="00BA3015"/>
    <w:rsid w:val="00BA3698"/>
    <w:rsid w:val="00BA37DF"/>
    <w:rsid w:val="00BA435F"/>
    <w:rsid w:val="00BA52E3"/>
    <w:rsid w:val="00BA5C14"/>
    <w:rsid w:val="00BA7034"/>
    <w:rsid w:val="00BB1FAC"/>
    <w:rsid w:val="00BB25C1"/>
    <w:rsid w:val="00BB3815"/>
    <w:rsid w:val="00BB3EAB"/>
    <w:rsid w:val="00BB44CA"/>
    <w:rsid w:val="00BB5A4A"/>
    <w:rsid w:val="00BB7744"/>
    <w:rsid w:val="00BC014C"/>
    <w:rsid w:val="00BC01F4"/>
    <w:rsid w:val="00BC06D8"/>
    <w:rsid w:val="00BC0700"/>
    <w:rsid w:val="00BC0A24"/>
    <w:rsid w:val="00BC1808"/>
    <w:rsid w:val="00BC1967"/>
    <w:rsid w:val="00BC1CD8"/>
    <w:rsid w:val="00BC3059"/>
    <w:rsid w:val="00BC3B99"/>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679C"/>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7FA"/>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4303"/>
    <w:rsid w:val="00C56D4A"/>
    <w:rsid w:val="00C56E8F"/>
    <w:rsid w:val="00C570F4"/>
    <w:rsid w:val="00C573D6"/>
    <w:rsid w:val="00C6013E"/>
    <w:rsid w:val="00C61E54"/>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6C85"/>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610"/>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07A54"/>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667"/>
    <w:rsid w:val="00D42D2F"/>
    <w:rsid w:val="00D43039"/>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2FBA"/>
    <w:rsid w:val="00D63DD9"/>
    <w:rsid w:val="00D64F38"/>
    <w:rsid w:val="00D6550F"/>
    <w:rsid w:val="00D702EF"/>
    <w:rsid w:val="00D71450"/>
    <w:rsid w:val="00D719AB"/>
    <w:rsid w:val="00D73428"/>
    <w:rsid w:val="00D73996"/>
    <w:rsid w:val="00D75594"/>
    <w:rsid w:val="00D76D11"/>
    <w:rsid w:val="00D7747E"/>
    <w:rsid w:val="00D7778E"/>
    <w:rsid w:val="00D80A18"/>
    <w:rsid w:val="00D812B1"/>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2C8A"/>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0171"/>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542E"/>
    <w:rsid w:val="00E45A0B"/>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FD3"/>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187F"/>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684D"/>
    <w:rsid w:val="00F2787B"/>
    <w:rsid w:val="00F30D48"/>
    <w:rsid w:val="00F31C1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1B43"/>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2E54"/>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558A"/>
    <w:rsid w:val="00F9612C"/>
    <w:rsid w:val="00FA09AE"/>
    <w:rsid w:val="00FA2183"/>
    <w:rsid w:val="00FA34CC"/>
    <w:rsid w:val="00FA530E"/>
    <w:rsid w:val="00FA660B"/>
    <w:rsid w:val="00FB158E"/>
    <w:rsid w:val="00FB5978"/>
    <w:rsid w:val="00FB6933"/>
    <w:rsid w:val="00FB6B1B"/>
    <w:rsid w:val="00FB6C14"/>
    <w:rsid w:val="00FB6D69"/>
    <w:rsid w:val="00FC13FA"/>
    <w:rsid w:val="00FC2072"/>
    <w:rsid w:val="00FC2889"/>
    <w:rsid w:val="00FC5107"/>
    <w:rsid w:val="00FC53D2"/>
    <w:rsid w:val="00FD069F"/>
    <w:rsid w:val="00FD0E3C"/>
    <w:rsid w:val="00FD2A25"/>
    <w:rsid w:val="00FD2CA4"/>
    <w:rsid w:val="00FD3593"/>
    <w:rsid w:val="00FD416F"/>
    <w:rsid w:val="00FD46E8"/>
    <w:rsid w:val="00FD5F2B"/>
    <w:rsid w:val="00FD6692"/>
    <w:rsid w:val="00FD6BBF"/>
    <w:rsid w:val="00FD7228"/>
    <w:rsid w:val="00FD7AFB"/>
    <w:rsid w:val="00FE10EC"/>
    <w:rsid w:val="00FE1D2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00FF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F6EF722C-EA3D-43DD-9766-31AC4C93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D42667"/>
    <w:pPr>
      <w:numPr>
        <w:numId w:val="5"/>
      </w:numPr>
      <w:spacing w:before="20" w:after="20"/>
    </w:pPr>
    <w:rPr>
      <w:rFonts w:eastAsia="MS Mincho" w:cs="Arial"/>
      <w:bCs/>
      <w:color w:val="000000"/>
      <w:szCs w:val="22"/>
      <w:lang w:val="en-GB"/>
      <w14:ligatures w14:val="standardContextual"/>
    </w:rPr>
  </w:style>
  <w:style w:type="character" w:styleId="Mention">
    <w:name w:val="Mention"/>
    <w:basedOn w:val="DefaultParagraphFont"/>
    <w:uiPriority w:val="99"/>
    <w:unhideWhenUsed/>
    <w:rsid w:val="00D07A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853">
      <w:bodyDiv w:val="1"/>
      <w:marLeft w:val="0"/>
      <w:marRight w:val="0"/>
      <w:marTop w:val="0"/>
      <w:marBottom w:val="0"/>
      <w:divBdr>
        <w:top w:val="none" w:sz="0" w:space="0" w:color="auto"/>
        <w:left w:val="none" w:sz="0" w:space="0" w:color="auto"/>
        <w:bottom w:val="none" w:sz="0" w:space="0" w:color="auto"/>
        <w:right w:val="none" w:sz="0" w:space="0" w:color="auto"/>
      </w:divBdr>
      <w:divsChild>
        <w:div w:id="86077004">
          <w:marLeft w:val="0"/>
          <w:marRight w:val="0"/>
          <w:marTop w:val="0"/>
          <w:marBottom w:val="0"/>
          <w:divBdr>
            <w:top w:val="none" w:sz="0" w:space="0" w:color="auto"/>
            <w:left w:val="none" w:sz="0" w:space="0" w:color="auto"/>
            <w:bottom w:val="none" w:sz="0" w:space="0" w:color="auto"/>
            <w:right w:val="none" w:sz="0" w:space="0" w:color="auto"/>
          </w:divBdr>
        </w:div>
        <w:div w:id="263151635">
          <w:marLeft w:val="0"/>
          <w:marRight w:val="0"/>
          <w:marTop w:val="0"/>
          <w:marBottom w:val="0"/>
          <w:divBdr>
            <w:top w:val="none" w:sz="0" w:space="0" w:color="auto"/>
            <w:left w:val="none" w:sz="0" w:space="0" w:color="auto"/>
            <w:bottom w:val="none" w:sz="0" w:space="0" w:color="auto"/>
            <w:right w:val="none" w:sz="0" w:space="0" w:color="auto"/>
          </w:divBdr>
        </w:div>
        <w:div w:id="585311288">
          <w:marLeft w:val="0"/>
          <w:marRight w:val="0"/>
          <w:marTop w:val="0"/>
          <w:marBottom w:val="0"/>
          <w:divBdr>
            <w:top w:val="none" w:sz="0" w:space="0" w:color="auto"/>
            <w:left w:val="none" w:sz="0" w:space="0" w:color="auto"/>
            <w:bottom w:val="none" w:sz="0" w:space="0" w:color="auto"/>
            <w:right w:val="none" w:sz="0" w:space="0" w:color="auto"/>
          </w:divBdr>
        </w:div>
        <w:div w:id="727457831">
          <w:marLeft w:val="0"/>
          <w:marRight w:val="0"/>
          <w:marTop w:val="0"/>
          <w:marBottom w:val="0"/>
          <w:divBdr>
            <w:top w:val="none" w:sz="0" w:space="0" w:color="auto"/>
            <w:left w:val="none" w:sz="0" w:space="0" w:color="auto"/>
            <w:bottom w:val="none" w:sz="0" w:space="0" w:color="auto"/>
            <w:right w:val="none" w:sz="0" w:space="0" w:color="auto"/>
          </w:divBdr>
        </w:div>
        <w:div w:id="839857025">
          <w:marLeft w:val="0"/>
          <w:marRight w:val="0"/>
          <w:marTop w:val="0"/>
          <w:marBottom w:val="0"/>
          <w:divBdr>
            <w:top w:val="none" w:sz="0" w:space="0" w:color="auto"/>
            <w:left w:val="none" w:sz="0" w:space="0" w:color="auto"/>
            <w:bottom w:val="none" w:sz="0" w:space="0" w:color="auto"/>
            <w:right w:val="none" w:sz="0" w:space="0" w:color="auto"/>
          </w:divBdr>
        </w:div>
        <w:div w:id="1332947514">
          <w:marLeft w:val="0"/>
          <w:marRight w:val="0"/>
          <w:marTop w:val="0"/>
          <w:marBottom w:val="0"/>
          <w:divBdr>
            <w:top w:val="none" w:sz="0" w:space="0" w:color="auto"/>
            <w:left w:val="none" w:sz="0" w:space="0" w:color="auto"/>
            <w:bottom w:val="none" w:sz="0" w:space="0" w:color="auto"/>
            <w:right w:val="none" w:sz="0" w:space="0" w:color="auto"/>
          </w:divBdr>
        </w:div>
        <w:div w:id="1509904694">
          <w:marLeft w:val="0"/>
          <w:marRight w:val="0"/>
          <w:marTop w:val="0"/>
          <w:marBottom w:val="0"/>
          <w:divBdr>
            <w:top w:val="none" w:sz="0" w:space="0" w:color="auto"/>
            <w:left w:val="none" w:sz="0" w:space="0" w:color="auto"/>
            <w:bottom w:val="none" w:sz="0" w:space="0" w:color="auto"/>
            <w:right w:val="none" w:sz="0" w:space="0" w:color="auto"/>
          </w:divBdr>
        </w:div>
        <w:div w:id="1562715880">
          <w:marLeft w:val="0"/>
          <w:marRight w:val="0"/>
          <w:marTop w:val="0"/>
          <w:marBottom w:val="0"/>
          <w:divBdr>
            <w:top w:val="none" w:sz="0" w:space="0" w:color="auto"/>
            <w:left w:val="none" w:sz="0" w:space="0" w:color="auto"/>
            <w:bottom w:val="none" w:sz="0" w:space="0" w:color="auto"/>
            <w:right w:val="none" w:sz="0" w:space="0" w:color="auto"/>
          </w:divBdr>
        </w:div>
        <w:div w:id="2053921062">
          <w:marLeft w:val="0"/>
          <w:marRight w:val="0"/>
          <w:marTop w:val="0"/>
          <w:marBottom w:val="0"/>
          <w:divBdr>
            <w:top w:val="none" w:sz="0" w:space="0" w:color="auto"/>
            <w:left w:val="none" w:sz="0" w:space="0" w:color="auto"/>
            <w:bottom w:val="none" w:sz="0" w:space="0" w:color="auto"/>
            <w:right w:val="none" w:sz="0" w:space="0" w:color="auto"/>
          </w:divBdr>
        </w:div>
        <w:div w:id="2132626356">
          <w:marLeft w:val="0"/>
          <w:marRight w:val="0"/>
          <w:marTop w:val="0"/>
          <w:marBottom w:val="0"/>
          <w:divBdr>
            <w:top w:val="none" w:sz="0" w:space="0" w:color="auto"/>
            <w:left w:val="none" w:sz="0" w:space="0" w:color="auto"/>
            <w:bottom w:val="none" w:sz="0" w:space="0" w:color="auto"/>
            <w:right w:val="none" w:sz="0" w:space="0" w:color="auto"/>
          </w:divBdr>
        </w:div>
      </w:divsChild>
    </w:div>
    <w:div w:id="64880705">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496309769">
          <w:marLeft w:val="0"/>
          <w:marRight w:val="0"/>
          <w:marTop w:val="0"/>
          <w:marBottom w:val="40"/>
          <w:divBdr>
            <w:top w:val="none" w:sz="0" w:space="0" w:color="auto"/>
            <w:left w:val="none" w:sz="0" w:space="0" w:color="auto"/>
            <w:bottom w:val="none" w:sz="0" w:space="0" w:color="auto"/>
            <w:right w:val="none" w:sz="0" w:space="0" w:color="auto"/>
          </w:divBdr>
        </w:div>
        <w:div w:id="1160198765">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71216507">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59442976">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252355017">
          <w:marLeft w:val="173"/>
          <w:marRight w:val="0"/>
          <w:marTop w:val="20"/>
          <w:marBottom w:val="0"/>
          <w:divBdr>
            <w:top w:val="none" w:sz="0" w:space="0" w:color="auto"/>
            <w:left w:val="none" w:sz="0" w:space="0" w:color="auto"/>
            <w:bottom w:val="none" w:sz="0" w:space="0" w:color="auto"/>
            <w:right w:val="none" w:sz="0" w:space="0" w:color="auto"/>
          </w:divBdr>
        </w:div>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44715717">
      <w:bodyDiv w:val="1"/>
      <w:marLeft w:val="0"/>
      <w:marRight w:val="0"/>
      <w:marTop w:val="0"/>
      <w:marBottom w:val="0"/>
      <w:divBdr>
        <w:top w:val="none" w:sz="0" w:space="0" w:color="auto"/>
        <w:left w:val="none" w:sz="0" w:space="0" w:color="auto"/>
        <w:bottom w:val="none" w:sz="0" w:space="0" w:color="auto"/>
        <w:right w:val="none" w:sz="0" w:space="0" w:color="auto"/>
      </w:divBdr>
      <w:divsChild>
        <w:div w:id="210239944">
          <w:marLeft w:val="720"/>
          <w:marRight w:val="0"/>
          <w:marTop w:val="120"/>
          <w:marBottom w:val="120"/>
          <w:divBdr>
            <w:top w:val="none" w:sz="0" w:space="0" w:color="auto"/>
            <w:left w:val="none" w:sz="0" w:space="0" w:color="auto"/>
            <w:bottom w:val="none" w:sz="0" w:space="0" w:color="auto"/>
            <w:right w:val="none" w:sz="0" w:space="0" w:color="auto"/>
          </w:divBdr>
        </w:div>
        <w:div w:id="336080183">
          <w:marLeft w:val="720"/>
          <w:marRight w:val="0"/>
          <w:marTop w:val="120"/>
          <w:marBottom w:val="120"/>
          <w:divBdr>
            <w:top w:val="none" w:sz="0" w:space="0" w:color="auto"/>
            <w:left w:val="none" w:sz="0" w:space="0" w:color="auto"/>
            <w:bottom w:val="none" w:sz="0" w:space="0" w:color="auto"/>
            <w:right w:val="none" w:sz="0" w:space="0" w:color="auto"/>
          </w:divBdr>
        </w:div>
        <w:div w:id="1467510603">
          <w:marLeft w:val="720"/>
          <w:marRight w:val="0"/>
          <w:marTop w:val="120"/>
          <w:marBottom w:val="12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09006335">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524439672">
          <w:marLeft w:val="173"/>
          <w:marRight w:val="0"/>
          <w:marTop w:val="120"/>
          <w:marBottom w:val="0"/>
          <w:divBdr>
            <w:top w:val="none" w:sz="0" w:space="0" w:color="auto"/>
            <w:left w:val="none" w:sz="0" w:space="0" w:color="auto"/>
            <w:bottom w:val="none" w:sz="0" w:space="0" w:color="auto"/>
            <w:right w:val="none" w:sz="0" w:space="0" w:color="auto"/>
          </w:divBdr>
        </w:div>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728773015">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1147471597">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7223</Characters>
  <Application>Microsoft Office Word</Application>
  <DocSecurity>0</DocSecurity>
  <Lines>60</Lines>
  <Paragraphs>16</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8474</CharactersWithSpaces>
  <SharedDoc>false</SharedDoc>
  <HLinks>
    <vt:vector size="6" baseType="variant">
      <vt:variant>
        <vt:i4>983075</vt:i4>
      </vt:variant>
      <vt:variant>
        <vt:i4>0</vt:i4>
      </vt:variant>
      <vt:variant>
        <vt:i4>0</vt:i4>
      </vt:variant>
      <vt:variant>
        <vt:i4>5</vt:i4>
      </vt:variant>
      <vt:variant>
        <vt:lpwstr>mailto:Claire.Atkins-morris@sodexo.com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subject/>
  <dc:creator>Sylvie.Moumem</dc:creator>
  <cp:keywords/>
  <cp:lastModifiedBy>Ungureanu, Roberta</cp:lastModifiedBy>
  <cp:revision>2</cp:revision>
  <cp:lastPrinted>2014-08-21T21:59:00Z</cp:lastPrinted>
  <dcterms:created xsi:type="dcterms:W3CDTF">2026-05-22T12:47:00Z</dcterms:created>
  <dcterms:modified xsi:type="dcterms:W3CDTF">2026-05-22T12:47:00Z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