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5458" w14:textId="77777777" w:rsidR="00366A73" w:rsidRDefault="00E67BDE">
      <w:r>
        <w:rPr>
          <w:noProof/>
          <w:lang w:val="en-GB" w:eastAsia="en-GB"/>
        </w:rPr>
        <mc:AlternateContent>
          <mc:Choice Requires="wps">
            <w:drawing>
              <wp:anchor distT="0" distB="0" distL="114300" distR="114300" simplePos="0" relativeHeight="251666432" behindDoc="0" locked="0" layoutInCell="1" allowOverlap="1" wp14:anchorId="2DC40817" wp14:editId="547723B6">
                <wp:simplePos x="0" y="0"/>
                <wp:positionH relativeFrom="column">
                  <wp:posOffset>-725805</wp:posOffset>
                </wp:positionH>
                <wp:positionV relativeFrom="paragraph">
                  <wp:posOffset>-388620</wp:posOffset>
                </wp:positionV>
                <wp:extent cx="5311775" cy="115570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B304FA" w14:textId="5FF56E9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B629C">
                              <w:rPr>
                                <w:color w:val="FFFFFF"/>
                                <w:sz w:val="44"/>
                                <w:szCs w:val="44"/>
                                <w:lang w:val="en-AU"/>
                              </w:rPr>
                              <w:t xml:space="preserve">Head of </w:t>
                            </w:r>
                            <w:r w:rsidR="0026691F">
                              <w:rPr>
                                <w:color w:val="FFFFFF"/>
                                <w:sz w:val="44"/>
                                <w:szCs w:val="44"/>
                                <w:lang w:val="en-AU"/>
                              </w:rPr>
                              <w:t xml:space="preserve">Commercial Finance – </w:t>
                            </w:r>
                            <w:r w:rsidR="001D1B90">
                              <w:rPr>
                                <w:color w:val="FFFFFF"/>
                                <w:sz w:val="44"/>
                                <w:szCs w:val="44"/>
                                <w:lang w:val="en-AU"/>
                              </w:rPr>
                              <w:t>Government (Justice)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DC4081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5B304FA" w14:textId="5FF56E9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B629C">
                        <w:rPr>
                          <w:color w:val="FFFFFF"/>
                          <w:sz w:val="44"/>
                          <w:szCs w:val="44"/>
                          <w:lang w:val="en-AU"/>
                        </w:rPr>
                        <w:t xml:space="preserve">Head of </w:t>
                      </w:r>
                      <w:r w:rsidR="0026691F">
                        <w:rPr>
                          <w:color w:val="FFFFFF"/>
                          <w:sz w:val="44"/>
                          <w:szCs w:val="44"/>
                          <w:lang w:val="en-AU"/>
                        </w:rPr>
                        <w:t xml:space="preserve">Commercial Finance – </w:t>
                      </w:r>
                      <w:r w:rsidR="001D1B90">
                        <w:rPr>
                          <w:color w:val="FFFFFF"/>
                          <w:sz w:val="44"/>
                          <w:szCs w:val="44"/>
                          <w:lang w:val="en-AU"/>
                        </w:rPr>
                        <w:t>Government (Justice)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9A1D049" wp14:editId="4FC0722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CF69E4A" w14:textId="77777777" w:rsidR="00366A73" w:rsidRPr="00366A73" w:rsidRDefault="00366A73" w:rsidP="00366A73"/>
    <w:p w14:paraId="7C23736B" w14:textId="77777777" w:rsidR="00366A73" w:rsidRPr="00366A73" w:rsidRDefault="00366A73" w:rsidP="00366A73"/>
    <w:p w14:paraId="770FB758" w14:textId="77777777" w:rsidR="00366A73" w:rsidRPr="00366A73" w:rsidRDefault="00366A73" w:rsidP="00366A73"/>
    <w:p w14:paraId="30F9A554" w14:textId="77777777" w:rsidR="00366A73" w:rsidRPr="00366A73" w:rsidRDefault="00366A73" w:rsidP="00366A73"/>
    <w:p w14:paraId="744852D1" w14:textId="77777777" w:rsidR="00366A73" w:rsidRDefault="00366A73" w:rsidP="00366A73"/>
    <w:p w14:paraId="159E0AD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40"/>
        <w:gridCol w:w="1710"/>
        <w:gridCol w:w="7182"/>
        <w:gridCol w:w="18"/>
      </w:tblGrid>
      <w:tr w:rsidR="00366A73" w:rsidRPr="00315425" w14:paraId="0994318F" w14:textId="77777777" w:rsidTr="00AD5E44">
        <w:trPr>
          <w:trHeight w:val="387"/>
        </w:trPr>
        <w:tc>
          <w:tcPr>
            <w:tcW w:w="3351"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6B11ED8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9D2730B" w14:textId="77777777" w:rsidR="00366A73" w:rsidRPr="00876EDD" w:rsidRDefault="0013158E" w:rsidP="00161F93">
            <w:pPr>
              <w:spacing w:before="20" w:after="20"/>
              <w:jc w:val="left"/>
              <w:rPr>
                <w:rFonts w:cs="Arial"/>
                <w:color w:val="000000"/>
                <w:szCs w:val="20"/>
              </w:rPr>
            </w:pPr>
            <w:r>
              <w:rPr>
                <w:rFonts w:cs="Arial"/>
                <w:color w:val="000000"/>
                <w:szCs w:val="20"/>
              </w:rPr>
              <w:t>Finance</w:t>
            </w:r>
          </w:p>
        </w:tc>
      </w:tr>
      <w:tr w:rsidR="00366A73" w:rsidRPr="00315425" w14:paraId="1F22D432" w14:textId="77777777" w:rsidTr="00AD5E44">
        <w:trPr>
          <w:trHeight w:val="387"/>
        </w:trPr>
        <w:tc>
          <w:tcPr>
            <w:tcW w:w="3351"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153DF62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518AFF4" w14:textId="552F5251" w:rsidR="00366A73" w:rsidRPr="0013158E" w:rsidRDefault="005B629C" w:rsidP="00AD211B">
            <w:pPr>
              <w:pStyle w:val="Heading2"/>
              <w:rPr>
                <w:b w:val="0"/>
                <w:bCs/>
                <w:lang w:val="en-CA"/>
              </w:rPr>
            </w:pPr>
            <w:r>
              <w:rPr>
                <w:b w:val="0"/>
                <w:bCs/>
                <w:lang w:val="en-CA"/>
              </w:rPr>
              <w:t xml:space="preserve">Head of </w:t>
            </w:r>
            <w:r w:rsidR="002448BA">
              <w:rPr>
                <w:b w:val="0"/>
                <w:bCs/>
                <w:lang w:val="en-CA"/>
              </w:rPr>
              <w:t xml:space="preserve">Commercial Finance - </w:t>
            </w:r>
            <w:r w:rsidR="001D1B90">
              <w:rPr>
                <w:b w:val="0"/>
                <w:bCs/>
                <w:lang w:val="en-CA"/>
              </w:rPr>
              <w:t>Justice</w:t>
            </w:r>
          </w:p>
        </w:tc>
      </w:tr>
      <w:tr w:rsidR="00366A73" w:rsidRPr="00315425" w14:paraId="5F04A747" w14:textId="77777777" w:rsidTr="00AD5E44">
        <w:trPr>
          <w:trHeight w:val="387"/>
        </w:trPr>
        <w:tc>
          <w:tcPr>
            <w:tcW w:w="3351"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1633509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9A877B1" w14:textId="77777777" w:rsidR="00366A73" w:rsidRPr="00876EDD" w:rsidRDefault="00366A73" w:rsidP="00161F93">
            <w:pPr>
              <w:spacing w:before="20" w:after="20"/>
              <w:jc w:val="left"/>
              <w:rPr>
                <w:rFonts w:cs="Arial"/>
                <w:color w:val="000000"/>
                <w:szCs w:val="20"/>
              </w:rPr>
            </w:pPr>
          </w:p>
        </w:tc>
      </w:tr>
      <w:tr w:rsidR="00366A73" w:rsidRPr="00315425" w14:paraId="6F6F2426" w14:textId="77777777" w:rsidTr="00AD5E44">
        <w:trPr>
          <w:trHeight w:val="387"/>
        </w:trPr>
        <w:tc>
          <w:tcPr>
            <w:tcW w:w="3351"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509230C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366F26E" w14:textId="77777777" w:rsidR="00366A73" w:rsidRDefault="00366A73" w:rsidP="00161F93">
            <w:pPr>
              <w:spacing w:before="20" w:after="20"/>
              <w:jc w:val="left"/>
              <w:rPr>
                <w:rFonts w:cs="Arial"/>
                <w:color w:val="000000"/>
                <w:szCs w:val="20"/>
              </w:rPr>
            </w:pPr>
          </w:p>
        </w:tc>
      </w:tr>
      <w:tr w:rsidR="00366A73" w:rsidRPr="00315425" w14:paraId="5E2BE7A7" w14:textId="77777777" w:rsidTr="00AD5E44">
        <w:trPr>
          <w:trHeight w:val="387"/>
        </w:trPr>
        <w:tc>
          <w:tcPr>
            <w:tcW w:w="3351"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5CABCD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DBC5C41" w14:textId="0B2446E4" w:rsidR="00366A73" w:rsidRPr="00876EDD" w:rsidRDefault="0013158E" w:rsidP="00BC6CE1">
            <w:pPr>
              <w:spacing w:before="20" w:after="20"/>
              <w:jc w:val="left"/>
              <w:rPr>
                <w:rFonts w:cs="Arial"/>
                <w:color w:val="000000"/>
                <w:szCs w:val="20"/>
              </w:rPr>
            </w:pPr>
            <w:r>
              <w:rPr>
                <w:rFonts w:cs="Arial"/>
                <w:color w:val="000000"/>
                <w:szCs w:val="20"/>
              </w:rPr>
              <w:t xml:space="preserve">UK </w:t>
            </w:r>
            <w:r w:rsidR="00930E7E">
              <w:rPr>
                <w:rFonts w:cs="Arial"/>
                <w:color w:val="000000"/>
                <w:szCs w:val="20"/>
              </w:rPr>
              <w:t>Government</w:t>
            </w:r>
            <w:r>
              <w:rPr>
                <w:rFonts w:cs="Arial"/>
                <w:color w:val="000000"/>
                <w:szCs w:val="20"/>
              </w:rPr>
              <w:t xml:space="preserve"> Finance Director </w:t>
            </w:r>
          </w:p>
        </w:tc>
      </w:tr>
      <w:tr w:rsidR="00366A73" w:rsidRPr="00315425" w14:paraId="10BFB1A5" w14:textId="77777777" w:rsidTr="00AD5E44">
        <w:trPr>
          <w:trHeight w:val="387"/>
        </w:trPr>
        <w:tc>
          <w:tcPr>
            <w:tcW w:w="3351"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5562DAC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4C707184" w14:textId="77777777" w:rsidR="00366A73" w:rsidRDefault="00366A73" w:rsidP="00366A73">
            <w:pPr>
              <w:spacing w:before="20" w:after="20"/>
              <w:jc w:val="left"/>
              <w:rPr>
                <w:rFonts w:cs="Arial"/>
                <w:color w:val="000000"/>
                <w:szCs w:val="20"/>
              </w:rPr>
            </w:pPr>
          </w:p>
        </w:tc>
      </w:tr>
      <w:tr w:rsidR="00366A73" w:rsidRPr="00315425" w14:paraId="7D1F2544" w14:textId="77777777" w:rsidTr="00AD5E44">
        <w:trPr>
          <w:trHeight w:val="387"/>
        </w:trPr>
        <w:tc>
          <w:tcPr>
            <w:tcW w:w="3351"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250EAE8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F49611B" w14:textId="77777777" w:rsidR="00366A73" w:rsidRDefault="00BC6CE1" w:rsidP="00161F93">
            <w:pPr>
              <w:spacing w:before="20" w:after="20"/>
              <w:jc w:val="left"/>
              <w:rPr>
                <w:rFonts w:cs="Arial"/>
                <w:color w:val="000000"/>
                <w:szCs w:val="20"/>
              </w:rPr>
            </w:pPr>
            <w:r>
              <w:rPr>
                <w:rFonts w:cs="Arial"/>
                <w:color w:val="000000"/>
                <w:szCs w:val="20"/>
              </w:rPr>
              <w:t>Flexible</w:t>
            </w:r>
            <w:r w:rsidR="00682C43">
              <w:rPr>
                <w:rFonts w:cs="Arial"/>
                <w:color w:val="000000"/>
                <w:szCs w:val="20"/>
              </w:rPr>
              <w:t xml:space="preserve"> </w:t>
            </w:r>
          </w:p>
        </w:tc>
      </w:tr>
      <w:tr w:rsidR="00366A73" w:rsidRPr="00315425" w14:paraId="651E6FCF" w14:textId="77777777" w:rsidTr="00AD5E44">
        <w:trPr>
          <w:gridAfter w:val="1"/>
          <w:wAfter w:w="18" w:type="dxa"/>
        </w:trPr>
        <w:tc>
          <w:tcPr>
            <w:tcW w:w="10533" w:type="dxa"/>
            <w:gridSpan w:val="4"/>
            <w:tcBorders>
              <w:top w:val="single" w:sz="2" w:space="0" w:color="auto"/>
              <w:left w:val="nil"/>
              <w:bottom w:val="single" w:sz="2" w:space="0" w:color="auto"/>
              <w:right w:val="nil"/>
            </w:tcBorders>
          </w:tcPr>
          <w:p w14:paraId="2EE5A774" w14:textId="77777777" w:rsidR="00366A73" w:rsidRDefault="00366A73" w:rsidP="00161F93">
            <w:pPr>
              <w:jc w:val="left"/>
              <w:rPr>
                <w:rFonts w:cs="Arial"/>
                <w:sz w:val="10"/>
                <w:szCs w:val="20"/>
              </w:rPr>
            </w:pPr>
          </w:p>
          <w:p w14:paraId="3B55C975" w14:textId="77777777" w:rsidR="00366A73" w:rsidRPr="00315425" w:rsidRDefault="00366A73" w:rsidP="00161F93">
            <w:pPr>
              <w:jc w:val="left"/>
              <w:rPr>
                <w:rFonts w:cs="Arial"/>
                <w:sz w:val="10"/>
                <w:szCs w:val="20"/>
              </w:rPr>
            </w:pPr>
          </w:p>
        </w:tc>
      </w:tr>
      <w:tr w:rsidR="00366A73" w:rsidRPr="00315425" w14:paraId="2CBC669D" w14:textId="77777777" w:rsidTr="00AD5E44">
        <w:trPr>
          <w:trHeight w:val="364"/>
        </w:trPr>
        <w:tc>
          <w:tcPr>
            <w:tcW w:w="10551"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5BB43E0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A204C5D" w14:textId="77777777" w:rsidTr="00AD5E44">
        <w:trPr>
          <w:trHeight w:val="413"/>
        </w:trPr>
        <w:tc>
          <w:tcPr>
            <w:tcW w:w="10551" w:type="dxa"/>
            <w:gridSpan w:val="5"/>
            <w:tcBorders>
              <w:top w:val="dotted" w:sz="4" w:space="0" w:color="auto"/>
              <w:left w:val="single" w:sz="4" w:space="0" w:color="auto"/>
              <w:bottom w:val="dotted" w:sz="4" w:space="0" w:color="auto"/>
              <w:right w:val="single" w:sz="2" w:space="0" w:color="auto"/>
            </w:tcBorders>
            <w:vAlign w:val="center"/>
          </w:tcPr>
          <w:p w14:paraId="52B9673B" w14:textId="57EDAC31" w:rsidR="00E108E0" w:rsidRPr="00E108E0" w:rsidRDefault="00930E7E" w:rsidP="005B76B3">
            <w:pPr>
              <w:numPr>
                <w:ilvl w:val="0"/>
                <w:numId w:val="2"/>
              </w:numPr>
              <w:spacing w:after="80" w:line="360" w:lineRule="auto"/>
              <w:rPr>
                <w:szCs w:val="22"/>
              </w:rPr>
            </w:pPr>
            <w:r>
              <w:rPr>
                <w:szCs w:val="22"/>
              </w:rPr>
              <w:t>The Head of Finance is one of the key roles to meet the strategic ambitions of the UK Government segment.</w:t>
            </w:r>
          </w:p>
          <w:p w14:paraId="2DBA263D" w14:textId="08DD3260" w:rsidR="00E108E0" w:rsidRDefault="005B629C" w:rsidP="005B76B3">
            <w:pPr>
              <w:numPr>
                <w:ilvl w:val="0"/>
                <w:numId w:val="2"/>
              </w:numPr>
              <w:spacing w:after="80" w:line="360" w:lineRule="auto"/>
              <w:rPr>
                <w:szCs w:val="22"/>
              </w:rPr>
            </w:pPr>
            <w:r>
              <w:rPr>
                <w:szCs w:val="22"/>
              </w:rPr>
              <w:t xml:space="preserve">To provide </w:t>
            </w:r>
            <w:r w:rsidR="00E108E0">
              <w:rPr>
                <w:szCs w:val="22"/>
              </w:rPr>
              <w:t xml:space="preserve">insight </w:t>
            </w:r>
            <w:r w:rsidR="00930E7E">
              <w:rPr>
                <w:szCs w:val="22"/>
              </w:rPr>
              <w:t xml:space="preserve">driven reporting </w:t>
            </w:r>
            <w:r w:rsidR="00E108E0">
              <w:rPr>
                <w:szCs w:val="22"/>
              </w:rPr>
              <w:t>and</w:t>
            </w:r>
            <w:r w:rsidR="00E108E0" w:rsidRPr="00B51F2B">
              <w:rPr>
                <w:szCs w:val="22"/>
              </w:rPr>
              <w:t xml:space="preserve"> support </w:t>
            </w:r>
            <w:r w:rsidR="00930E7E">
              <w:rPr>
                <w:szCs w:val="22"/>
              </w:rPr>
              <w:t>for</w:t>
            </w:r>
            <w:r w:rsidR="00E108E0">
              <w:rPr>
                <w:szCs w:val="22"/>
              </w:rPr>
              <w:t xml:space="preserve"> key </w:t>
            </w:r>
            <w:r w:rsidR="00930E7E">
              <w:rPr>
                <w:szCs w:val="22"/>
              </w:rPr>
              <w:t xml:space="preserve">contractual </w:t>
            </w:r>
            <w:r w:rsidRPr="00B51F2B">
              <w:rPr>
                <w:szCs w:val="22"/>
              </w:rPr>
              <w:t>commercial decision</w:t>
            </w:r>
            <w:r w:rsidR="00E108E0">
              <w:rPr>
                <w:szCs w:val="22"/>
              </w:rPr>
              <w:t xml:space="preserve"> making, </w:t>
            </w:r>
            <w:r w:rsidR="006C7C4E">
              <w:rPr>
                <w:szCs w:val="22"/>
              </w:rPr>
              <w:t>identifying efficiencies and profit improvements</w:t>
            </w:r>
            <w:r w:rsidR="00ED34D4">
              <w:rPr>
                <w:szCs w:val="22"/>
              </w:rPr>
              <w:t xml:space="preserve">, supporting </w:t>
            </w:r>
            <w:r w:rsidR="00302C11">
              <w:rPr>
                <w:szCs w:val="22"/>
              </w:rPr>
              <w:t>the delivery of segment and regional initiatives</w:t>
            </w:r>
            <w:r w:rsidR="007D6357">
              <w:rPr>
                <w:szCs w:val="22"/>
              </w:rPr>
              <w:t xml:space="preserve"> </w:t>
            </w:r>
            <w:r w:rsidR="00E108E0">
              <w:rPr>
                <w:szCs w:val="22"/>
              </w:rPr>
              <w:t xml:space="preserve">and </w:t>
            </w:r>
            <w:r w:rsidR="00930E7E">
              <w:rPr>
                <w:szCs w:val="22"/>
              </w:rPr>
              <w:t>providing financial support for new business opportunities</w:t>
            </w:r>
            <w:r w:rsidR="00E108E0">
              <w:rPr>
                <w:szCs w:val="22"/>
              </w:rPr>
              <w:t xml:space="preserve"> </w:t>
            </w:r>
            <w:r w:rsidR="00FA05F4">
              <w:rPr>
                <w:szCs w:val="22"/>
              </w:rPr>
              <w:t>and retentions.</w:t>
            </w:r>
          </w:p>
          <w:p w14:paraId="5959C9E6" w14:textId="3527ABF8" w:rsidR="005B76B3" w:rsidRPr="00A636AC" w:rsidRDefault="005B76B3" w:rsidP="005B76B3">
            <w:pPr>
              <w:pStyle w:val="Default"/>
              <w:numPr>
                <w:ilvl w:val="0"/>
                <w:numId w:val="2"/>
              </w:numPr>
              <w:spacing w:line="360" w:lineRule="auto"/>
              <w:rPr>
                <w:sz w:val="18"/>
                <w:szCs w:val="18"/>
              </w:rPr>
            </w:pPr>
            <w:r>
              <w:rPr>
                <w:sz w:val="20"/>
                <w:szCs w:val="20"/>
              </w:rPr>
              <w:t xml:space="preserve">To provide financial leadership </w:t>
            </w:r>
            <w:r w:rsidR="00930E7E">
              <w:rPr>
                <w:sz w:val="20"/>
                <w:szCs w:val="20"/>
              </w:rPr>
              <w:t xml:space="preserve">to the </w:t>
            </w:r>
            <w:r w:rsidR="001D1B90">
              <w:rPr>
                <w:sz w:val="20"/>
                <w:szCs w:val="20"/>
              </w:rPr>
              <w:t>prison</w:t>
            </w:r>
            <w:r w:rsidR="00930E7E">
              <w:rPr>
                <w:sz w:val="20"/>
                <w:szCs w:val="20"/>
              </w:rPr>
              <w:t xml:space="preserve"> contracts, and coach and develop the team working in these contracts.</w:t>
            </w:r>
          </w:p>
          <w:p w14:paraId="694BEAFA" w14:textId="7C077B3E" w:rsidR="00A636AC" w:rsidRPr="005B76B3" w:rsidRDefault="00A636AC" w:rsidP="005B76B3">
            <w:pPr>
              <w:pStyle w:val="Default"/>
              <w:numPr>
                <w:ilvl w:val="0"/>
                <w:numId w:val="2"/>
              </w:numPr>
              <w:spacing w:line="360" w:lineRule="auto"/>
              <w:rPr>
                <w:sz w:val="18"/>
                <w:szCs w:val="18"/>
              </w:rPr>
            </w:pPr>
            <w:r>
              <w:rPr>
                <w:sz w:val="20"/>
                <w:szCs w:val="20"/>
              </w:rPr>
              <w:t xml:space="preserve">Develop </w:t>
            </w:r>
            <w:r w:rsidR="00643C43">
              <w:rPr>
                <w:sz w:val="20"/>
                <w:szCs w:val="20"/>
              </w:rPr>
              <w:t>effective working relationships with key operational stakeholders through strong collaboration.</w:t>
            </w:r>
          </w:p>
          <w:p w14:paraId="64A3714B" w14:textId="5D9BA21C" w:rsidR="005B76B3" w:rsidRPr="005B76B3" w:rsidRDefault="005B76B3" w:rsidP="005B76B3">
            <w:pPr>
              <w:pStyle w:val="Default"/>
              <w:numPr>
                <w:ilvl w:val="0"/>
                <w:numId w:val="2"/>
              </w:numPr>
              <w:spacing w:line="360" w:lineRule="auto"/>
              <w:rPr>
                <w:sz w:val="18"/>
                <w:szCs w:val="18"/>
              </w:rPr>
            </w:pPr>
            <w:r>
              <w:rPr>
                <w:sz w:val="20"/>
                <w:szCs w:val="20"/>
              </w:rPr>
              <w:t xml:space="preserve">To </w:t>
            </w:r>
            <w:r w:rsidR="00930E7E">
              <w:rPr>
                <w:sz w:val="20"/>
                <w:szCs w:val="20"/>
              </w:rPr>
              <w:t>work with the Centre of Excellence teams to ensure a rigorous control environment, accurate and timely forecasts and budgets and improved reporting and analytics.</w:t>
            </w:r>
          </w:p>
          <w:p w14:paraId="03F571ED" w14:textId="77777777" w:rsidR="00745A24" w:rsidRPr="00E108E0" w:rsidRDefault="00745A24" w:rsidP="00FA05F4">
            <w:pPr>
              <w:pStyle w:val="Default"/>
              <w:spacing w:line="360" w:lineRule="auto"/>
              <w:ind w:left="360"/>
              <w:rPr>
                <w:szCs w:val="20"/>
              </w:rPr>
            </w:pPr>
          </w:p>
        </w:tc>
      </w:tr>
      <w:tr w:rsidR="00366A73" w:rsidRPr="00315425" w14:paraId="2E90BF4D" w14:textId="77777777" w:rsidTr="00AD5E44">
        <w:trPr>
          <w:gridAfter w:val="1"/>
          <w:wAfter w:w="18" w:type="dxa"/>
        </w:trPr>
        <w:tc>
          <w:tcPr>
            <w:tcW w:w="10533" w:type="dxa"/>
            <w:gridSpan w:val="4"/>
            <w:tcBorders>
              <w:top w:val="single" w:sz="2" w:space="0" w:color="auto"/>
              <w:left w:val="nil"/>
              <w:bottom w:val="single" w:sz="2" w:space="0" w:color="auto"/>
              <w:right w:val="nil"/>
            </w:tcBorders>
          </w:tcPr>
          <w:p w14:paraId="441E7FA0" w14:textId="77777777" w:rsidR="00366A73" w:rsidRDefault="00366A73" w:rsidP="00161F93">
            <w:pPr>
              <w:jc w:val="left"/>
              <w:rPr>
                <w:rFonts w:cs="Arial"/>
                <w:sz w:val="10"/>
                <w:szCs w:val="20"/>
              </w:rPr>
            </w:pPr>
          </w:p>
          <w:p w14:paraId="6112F012" w14:textId="77777777" w:rsidR="00366A73" w:rsidRPr="00315425" w:rsidRDefault="00366A73" w:rsidP="00161F93">
            <w:pPr>
              <w:jc w:val="left"/>
              <w:rPr>
                <w:rFonts w:cs="Arial"/>
                <w:sz w:val="10"/>
                <w:szCs w:val="20"/>
              </w:rPr>
            </w:pPr>
          </w:p>
        </w:tc>
      </w:tr>
      <w:tr w:rsidR="00366A73" w:rsidRPr="00315425" w14:paraId="7EA533C4" w14:textId="77777777" w:rsidTr="00AD5E44">
        <w:trPr>
          <w:trHeight w:val="394"/>
        </w:trPr>
        <w:tc>
          <w:tcPr>
            <w:tcW w:w="10551"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0207C1DF"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3158E" w:rsidRPr="007C0E94" w14:paraId="79A64073" w14:textId="77777777" w:rsidTr="00F0315F">
        <w:trPr>
          <w:trHeight w:val="218"/>
        </w:trPr>
        <w:tc>
          <w:tcPr>
            <w:tcW w:w="1101" w:type="dxa"/>
            <w:tcBorders>
              <w:left w:val="single" w:sz="2" w:space="0" w:color="auto"/>
              <w:bottom w:val="dotted" w:sz="4" w:space="0" w:color="auto"/>
              <w:right w:val="nil"/>
            </w:tcBorders>
            <w:vAlign w:val="center"/>
          </w:tcPr>
          <w:p w14:paraId="22BFE968" w14:textId="77777777" w:rsidR="0013158E" w:rsidRPr="0013158E" w:rsidRDefault="00AD5E44" w:rsidP="00161F93">
            <w:r>
              <w:t>Financia</w:t>
            </w:r>
            <w:r w:rsidR="0013158E" w:rsidRPr="0013158E">
              <w:t xml:space="preserve">l </w:t>
            </w:r>
          </w:p>
        </w:tc>
        <w:tc>
          <w:tcPr>
            <w:tcW w:w="9450" w:type="dxa"/>
            <w:gridSpan w:val="4"/>
            <w:tcBorders>
              <w:left w:val="nil"/>
              <w:bottom w:val="dotted" w:sz="4" w:space="0" w:color="auto"/>
              <w:right w:val="single" w:sz="2" w:space="0" w:color="auto"/>
            </w:tcBorders>
            <w:vAlign w:val="center"/>
          </w:tcPr>
          <w:p w14:paraId="376A0749" w14:textId="0B6469C6" w:rsidR="00AD5E44" w:rsidRPr="00D11430" w:rsidRDefault="00302549" w:rsidP="00E108E0">
            <w:pPr>
              <w:numPr>
                <w:ilvl w:val="0"/>
                <w:numId w:val="1"/>
              </w:numPr>
              <w:tabs>
                <w:tab w:val="clear" w:pos="1080"/>
                <w:tab w:val="num" w:pos="1544"/>
              </w:tabs>
              <w:spacing w:before="40" w:after="40"/>
              <w:ind w:firstLine="180"/>
              <w:jc w:val="left"/>
              <w:rPr>
                <w:szCs w:val="20"/>
              </w:rPr>
            </w:pPr>
            <w:r w:rsidRPr="00D11430">
              <w:rPr>
                <w:szCs w:val="20"/>
              </w:rPr>
              <w:t>Contract portfolio of c.</w:t>
            </w:r>
            <w:r w:rsidR="001D1B90">
              <w:rPr>
                <w:szCs w:val="20"/>
              </w:rPr>
              <w:t>€290m</w:t>
            </w:r>
            <w:r w:rsidR="00404BB8" w:rsidRPr="00D11430">
              <w:rPr>
                <w:szCs w:val="20"/>
              </w:rPr>
              <w:t xml:space="preserve"> per annum</w:t>
            </w:r>
          </w:p>
        </w:tc>
      </w:tr>
      <w:tr w:rsidR="00AD5E44" w:rsidRPr="00FB6D69" w14:paraId="3BC83DC5" w14:textId="77777777" w:rsidTr="00AD5E44">
        <w:trPr>
          <w:trHeight w:val="413"/>
        </w:trPr>
        <w:tc>
          <w:tcPr>
            <w:tcW w:w="1641" w:type="dxa"/>
            <w:gridSpan w:val="2"/>
            <w:tcBorders>
              <w:top w:val="dotted" w:sz="2" w:space="0" w:color="auto"/>
              <w:left w:val="single" w:sz="2" w:space="0" w:color="auto"/>
              <w:bottom w:val="single" w:sz="4" w:space="0" w:color="auto"/>
              <w:right w:val="nil"/>
            </w:tcBorders>
            <w:vAlign w:val="center"/>
          </w:tcPr>
          <w:p w14:paraId="7A03802C" w14:textId="77777777" w:rsidR="00AD5E44" w:rsidRPr="00FB6D69" w:rsidRDefault="00AD5E44" w:rsidP="00AD5E44">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735916AF" w14:textId="56535D53" w:rsidR="00AD5E44" w:rsidRPr="00144E5D" w:rsidRDefault="001D1B90" w:rsidP="00AD211B">
            <w:pPr>
              <w:numPr>
                <w:ilvl w:val="0"/>
                <w:numId w:val="1"/>
              </w:numPr>
              <w:spacing w:before="40" w:after="40"/>
              <w:jc w:val="left"/>
              <w:rPr>
                <w:rFonts w:cs="Arial"/>
                <w:color w:val="000000" w:themeColor="text1"/>
                <w:szCs w:val="20"/>
              </w:rPr>
            </w:pPr>
            <w:r>
              <w:rPr>
                <w:rFonts w:cs="Arial"/>
                <w:color w:val="000000" w:themeColor="text1"/>
                <w:szCs w:val="20"/>
              </w:rPr>
              <w:t>7 prisons (including PFI’s) and 2 newly mobilizing prisons across the UK and Scotland</w:t>
            </w:r>
          </w:p>
        </w:tc>
      </w:tr>
    </w:tbl>
    <w:p w14:paraId="0BF694B2" w14:textId="77777777" w:rsidR="00366A73" w:rsidRPr="006658E1" w:rsidRDefault="00E67BDE"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4E9640C" wp14:editId="28AFD436">
                <wp:simplePos x="0" y="0"/>
                <wp:positionH relativeFrom="column">
                  <wp:posOffset>7086600</wp:posOffset>
                </wp:positionH>
                <wp:positionV relativeFrom="paragraph">
                  <wp:posOffset>2689860</wp:posOffset>
                </wp:positionV>
                <wp:extent cx="1583690" cy="253365"/>
                <wp:effectExtent l="0" t="0" r="16510" b="1333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F01106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E9640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F01106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FCE449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DB33A3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173EA4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72A86E3" w14:textId="77777777" w:rsidR="00366A73" w:rsidRPr="00315425" w:rsidRDefault="00366A73" w:rsidP="00366A73">
            <w:pPr>
              <w:jc w:val="center"/>
              <w:rPr>
                <w:rFonts w:cs="Arial"/>
                <w:b/>
                <w:sz w:val="4"/>
                <w:szCs w:val="20"/>
              </w:rPr>
            </w:pPr>
          </w:p>
          <w:p w14:paraId="55857C1E" w14:textId="77777777" w:rsidR="00366A73" w:rsidRPr="00315425" w:rsidRDefault="00366A73" w:rsidP="00366A73">
            <w:pPr>
              <w:jc w:val="center"/>
              <w:rPr>
                <w:rFonts w:cs="Arial"/>
                <w:b/>
                <w:sz w:val="6"/>
                <w:szCs w:val="20"/>
              </w:rPr>
            </w:pPr>
          </w:p>
          <w:p w14:paraId="7CF779F0" w14:textId="77777777" w:rsidR="00366A73" w:rsidRDefault="00366A73" w:rsidP="00366A73">
            <w:pPr>
              <w:spacing w:after="40"/>
              <w:jc w:val="center"/>
              <w:rPr>
                <w:rFonts w:cs="Arial"/>
                <w:noProof/>
                <w:sz w:val="10"/>
                <w:szCs w:val="20"/>
                <w:lang w:eastAsia="en-US"/>
              </w:rPr>
            </w:pPr>
          </w:p>
          <w:p w14:paraId="3D0DF3BC" w14:textId="77777777" w:rsidR="0013158E" w:rsidRDefault="00E108E0" w:rsidP="0013158E">
            <w:pPr>
              <w:spacing w:after="40"/>
              <w:jc w:val="center"/>
              <w:rPr>
                <w:rFonts w:cs="Arial"/>
                <w:noProof/>
                <w:sz w:val="10"/>
                <w:szCs w:val="20"/>
                <w:lang w:eastAsia="en-US"/>
              </w:rPr>
            </w:pPr>
            <w:r w:rsidRPr="00E108E0">
              <w:rPr>
                <w:rFonts w:cs="Arial"/>
                <w:noProof/>
                <w:sz w:val="10"/>
                <w:szCs w:val="20"/>
                <w:lang w:val="en-GB" w:eastAsia="en-GB"/>
              </w:rPr>
              <mc:AlternateContent>
                <mc:Choice Requires="wps">
                  <w:drawing>
                    <wp:anchor distT="0" distB="0" distL="114300" distR="114300" simplePos="0" relativeHeight="251671552" behindDoc="0" locked="0" layoutInCell="1" allowOverlap="1" wp14:anchorId="7C6CE9C4" wp14:editId="7950EF59">
                      <wp:simplePos x="0" y="0"/>
                      <wp:positionH relativeFrom="column">
                        <wp:posOffset>2237817</wp:posOffset>
                      </wp:positionH>
                      <wp:positionV relativeFrom="paragraph">
                        <wp:posOffset>5080</wp:posOffset>
                      </wp:positionV>
                      <wp:extent cx="1778000" cy="422910"/>
                      <wp:effectExtent l="0" t="0" r="0" b="0"/>
                      <wp:wrapNone/>
                      <wp:docPr id="26"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A4041E" w14:textId="40120DB9" w:rsidR="00E108E0" w:rsidRPr="00CA58A6" w:rsidRDefault="00E108E0" w:rsidP="00E108E0">
                                  <w:pPr>
                                    <w:jc w:val="center"/>
                                    <w:rPr>
                                      <w:rFonts w:cs="Arial"/>
                                      <w:color w:val="FFFFFF"/>
                                      <w:szCs w:val="20"/>
                                    </w:rPr>
                                  </w:pPr>
                                  <w:r>
                                    <w:rPr>
                                      <w:rFonts w:cs="Arial"/>
                                      <w:color w:val="FFFFFF"/>
                                      <w:szCs w:val="20"/>
                                    </w:rPr>
                                    <w:t xml:space="preserve">Finance Director </w:t>
                                  </w:r>
                                  <w:r w:rsidR="00930E7E">
                                    <w:rPr>
                                      <w:rFonts w:cs="Arial"/>
                                      <w:color w:val="FFFFFF"/>
                                      <w:szCs w:val="20"/>
                                    </w:rPr>
                                    <w:t>UK Government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C6CE9C4" id="Zone de texte 99" o:spid="_x0000_s1028" type="#_x0000_t202" style="position:absolute;left:0;text-align:left;margin-left:176.2pt;margin-top:.4pt;width:140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vx5Q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" fillcolor="#2a295c" stroked="f" strokeweight=".5pt">
                      <v:path arrowok="t"/>
                      <v:textbox inset="0,2mm,0,0">
                        <w:txbxContent>
                          <w:p w14:paraId="3EA4041E" w14:textId="40120DB9" w:rsidR="00E108E0" w:rsidRPr="00CA58A6" w:rsidRDefault="00E108E0" w:rsidP="00E108E0">
                            <w:pPr>
                              <w:jc w:val="center"/>
                              <w:rPr>
                                <w:rFonts w:cs="Arial"/>
                                <w:color w:val="FFFFFF"/>
                                <w:szCs w:val="20"/>
                              </w:rPr>
                            </w:pPr>
                            <w:r>
                              <w:rPr>
                                <w:rFonts w:cs="Arial"/>
                                <w:color w:val="FFFFFF"/>
                                <w:szCs w:val="20"/>
                              </w:rPr>
                              <w:t xml:space="preserve">Finance Director </w:t>
                            </w:r>
                            <w:r w:rsidR="00930E7E">
                              <w:rPr>
                                <w:rFonts w:cs="Arial"/>
                                <w:color w:val="FFFFFF"/>
                                <w:szCs w:val="20"/>
                              </w:rPr>
                              <w:t>UK Government</w:t>
                            </w:r>
                          </w:p>
                        </w:txbxContent>
                      </v:textbox>
                    </v:shape>
                  </w:pict>
                </mc:Fallback>
              </mc:AlternateContent>
            </w:r>
          </w:p>
          <w:p w14:paraId="5B4C3D66" w14:textId="77777777" w:rsidR="0013158E" w:rsidRDefault="0013158E" w:rsidP="0013158E">
            <w:pPr>
              <w:spacing w:after="40"/>
              <w:jc w:val="center"/>
              <w:rPr>
                <w:rFonts w:cs="Arial"/>
                <w:noProof/>
                <w:sz w:val="10"/>
                <w:szCs w:val="20"/>
                <w:lang w:eastAsia="en-US"/>
              </w:rPr>
            </w:pPr>
          </w:p>
          <w:p w14:paraId="16DC648C" w14:textId="77777777" w:rsidR="0013158E" w:rsidRDefault="0013158E" w:rsidP="0013158E">
            <w:pPr>
              <w:spacing w:after="40"/>
              <w:jc w:val="center"/>
              <w:rPr>
                <w:rFonts w:cs="Arial"/>
                <w:noProof/>
                <w:sz w:val="10"/>
                <w:szCs w:val="20"/>
                <w:lang w:eastAsia="en-US"/>
              </w:rPr>
            </w:pPr>
          </w:p>
          <w:p w14:paraId="200A1751" w14:textId="77777777" w:rsidR="0013158E" w:rsidRDefault="00E108E0" w:rsidP="0013158E">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4383" behindDoc="0" locked="0" layoutInCell="1" allowOverlap="1" wp14:anchorId="30FB1FF2" wp14:editId="2D054F12">
                      <wp:simplePos x="0" y="0"/>
                      <wp:positionH relativeFrom="column">
                        <wp:posOffset>3092704</wp:posOffset>
                      </wp:positionH>
                      <wp:positionV relativeFrom="paragraph">
                        <wp:posOffset>48336</wp:posOffset>
                      </wp:positionV>
                      <wp:extent cx="7315" cy="879196"/>
                      <wp:effectExtent l="0" t="0" r="31115" b="16510"/>
                      <wp:wrapNone/>
                      <wp:docPr id="14" name="Straight Connector 14"/>
                      <wp:cNvGraphicFramePr/>
                      <a:graphic xmlns:a="http://schemas.openxmlformats.org/drawingml/2006/main">
                        <a:graphicData uri="http://schemas.microsoft.com/office/word/2010/wordprocessingShape">
                          <wps:wsp>
                            <wps:cNvCnPr/>
                            <wps:spPr>
                              <a:xfrm flipH="1">
                                <a:off x="0" y="0"/>
                                <a:ext cx="7315" cy="8791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F03CD" id="Straight Connector 14" o:spid="_x0000_s1026" style="position:absolute;flip:x;z-index:251664383;visibility:visible;mso-wrap-style:square;mso-wrap-distance-left:9pt;mso-wrap-distance-top:0;mso-wrap-distance-right:9pt;mso-wrap-distance-bottom:0;mso-position-horizontal:absolute;mso-position-horizontal-relative:text;mso-position-vertical:absolute;mso-position-vertical-relative:text" from="243.5pt,3.8pt" to="244.1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" strokecolor="#4579b8 [3044]"/>
                  </w:pict>
                </mc:Fallback>
              </mc:AlternateContent>
            </w:r>
          </w:p>
          <w:p w14:paraId="3E2D4AB4" w14:textId="77777777" w:rsidR="0013158E" w:rsidRDefault="0013158E" w:rsidP="0013158E">
            <w:pPr>
              <w:spacing w:after="40"/>
              <w:jc w:val="center"/>
              <w:rPr>
                <w:rFonts w:cs="Arial"/>
                <w:noProof/>
                <w:sz w:val="10"/>
                <w:szCs w:val="20"/>
                <w:lang w:eastAsia="en-US"/>
              </w:rPr>
            </w:pPr>
          </w:p>
          <w:p w14:paraId="6A97B1C8" w14:textId="77777777" w:rsidR="0013158E" w:rsidRDefault="0013158E" w:rsidP="0013158E">
            <w:pPr>
              <w:spacing w:after="40"/>
              <w:jc w:val="center"/>
              <w:rPr>
                <w:rFonts w:cs="Arial"/>
                <w:noProof/>
                <w:sz w:val="10"/>
                <w:szCs w:val="20"/>
                <w:lang w:eastAsia="en-US"/>
              </w:rPr>
            </w:pPr>
          </w:p>
          <w:p w14:paraId="588C300E" w14:textId="77777777" w:rsidR="0013158E" w:rsidRDefault="00E108E0" w:rsidP="0013158E">
            <w:pPr>
              <w:spacing w:after="40"/>
              <w:jc w:val="center"/>
              <w:rPr>
                <w:rFonts w:cs="Arial"/>
                <w:noProof/>
                <w:sz w:val="10"/>
                <w:szCs w:val="20"/>
                <w:lang w:eastAsia="en-US"/>
              </w:rPr>
            </w:pPr>
            <w:r>
              <w:rPr>
                <w:noProof/>
                <w:szCs w:val="20"/>
                <w:lang w:val="en-GB" w:eastAsia="en-GB"/>
              </w:rPr>
              <mc:AlternateContent>
                <mc:Choice Requires="wps">
                  <w:drawing>
                    <wp:anchor distT="0" distB="0" distL="114300" distR="114300" simplePos="0" relativeHeight="251677696" behindDoc="0" locked="0" layoutInCell="1" allowOverlap="1" wp14:anchorId="3FB73C4E" wp14:editId="73916336">
                      <wp:simplePos x="0" y="0"/>
                      <wp:positionH relativeFrom="column">
                        <wp:posOffset>2237816</wp:posOffset>
                      </wp:positionH>
                      <wp:positionV relativeFrom="paragraph">
                        <wp:posOffset>13335</wp:posOffset>
                      </wp:positionV>
                      <wp:extent cx="1778000" cy="37020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CE4581" w14:textId="133EFED6" w:rsidR="00E108E0" w:rsidRPr="00D61BA3" w:rsidRDefault="00E108E0" w:rsidP="00E108E0">
                                  <w:pPr>
                                    <w:jc w:val="center"/>
                                    <w:rPr>
                                      <w:rFonts w:cs="Arial"/>
                                      <w:color w:val="FFFFFF" w:themeColor="background1"/>
                                      <w:szCs w:val="20"/>
                                    </w:rPr>
                                  </w:pPr>
                                  <w:r>
                                    <w:rPr>
                                      <w:rFonts w:cs="Arial"/>
                                      <w:color w:val="FFFFFF" w:themeColor="background1"/>
                                      <w:szCs w:val="20"/>
                                    </w:rPr>
                                    <w:t xml:space="preserve">Head of </w:t>
                                  </w:r>
                                  <w:r w:rsidR="000B285D">
                                    <w:rPr>
                                      <w:rFonts w:cs="Arial"/>
                                      <w:color w:val="FFFFFF" w:themeColor="background1"/>
                                      <w:szCs w:val="20"/>
                                    </w:rPr>
                                    <w:t xml:space="preserve">Commercial Finance - </w:t>
                                  </w:r>
                                  <w:r w:rsidR="001D1B90">
                                    <w:rPr>
                                      <w:rFonts w:cs="Arial"/>
                                      <w:color w:val="FFFFFF" w:themeColor="background1"/>
                                      <w:szCs w:val="20"/>
                                    </w:rPr>
                                    <w:t>Justice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B73C4E" id="Text Box 16" o:spid="_x0000_s1029" type="#_x0000_t202" style="position:absolute;left:0;text-align:left;margin-left:176.2pt;margin-top:1.05pt;width:140pt;height:2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xe5A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" fillcolor="#2a295c" stroked="f" strokeweight=".5pt">
                      <v:path arrowok="t"/>
                      <v:textbox inset="0,2mm,0,0">
                        <w:txbxContent>
                          <w:p w14:paraId="44CE4581" w14:textId="133EFED6" w:rsidR="00E108E0" w:rsidRPr="00D61BA3" w:rsidRDefault="00E108E0" w:rsidP="00E108E0">
                            <w:pPr>
                              <w:jc w:val="center"/>
                              <w:rPr>
                                <w:rFonts w:cs="Arial"/>
                                <w:color w:val="FFFFFF" w:themeColor="background1"/>
                                <w:szCs w:val="20"/>
                              </w:rPr>
                            </w:pPr>
                            <w:r>
                              <w:rPr>
                                <w:rFonts w:cs="Arial"/>
                                <w:color w:val="FFFFFF" w:themeColor="background1"/>
                                <w:szCs w:val="20"/>
                              </w:rPr>
                              <w:t xml:space="preserve">Head of </w:t>
                            </w:r>
                            <w:r w:rsidR="000B285D">
                              <w:rPr>
                                <w:rFonts w:cs="Arial"/>
                                <w:color w:val="FFFFFF" w:themeColor="background1"/>
                                <w:szCs w:val="20"/>
                              </w:rPr>
                              <w:t xml:space="preserve">Commercial Finance - </w:t>
                            </w:r>
                            <w:r w:rsidR="001D1B90">
                              <w:rPr>
                                <w:rFonts w:cs="Arial"/>
                                <w:color w:val="FFFFFF" w:themeColor="background1"/>
                                <w:szCs w:val="20"/>
                              </w:rPr>
                              <w:t>Justice</w:t>
                            </w:r>
                          </w:p>
                        </w:txbxContent>
                      </v:textbox>
                    </v:shape>
                  </w:pict>
                </mc:Fallback>
              </mc:AlternateContent>
            </w:r>
          </w:p>
          <w:p w14:paraId="151C603B" w14:textId="77777777" w:rsidR="0013158E" w:rsidRDefault="0013158E" w:rsidP="0013158E">
            <w:pPr>
              <w:spacing w:after="40"/>
              <w:jc w:val="center"/>
              <w:rPr>
                <w:rFonts w:cs="Arial"/>
                <w:noProof/>
                <w:sz w:val="10"/>
                <w:szCs w:val="20"/>
                <w:lang w:eastAsia="en-US"/>
              </w:rPr>
            </w:pPr>
          </w:p>
          <w:p w14:paraId="7CA4746C" w14:textId="77777777" w:rsidR="0013158E" w:rsidRDefault="0013158E" w:rsidP="0013158E">
            <w:pPr>
              <w:spacing w:after="40"/>
              <w:jc w:val="center"/>
              <w:rPr>
                <w:rFonts w:cs="Arial"/>
                <w:noProof/>
                <w:sz w:val="10"/>
                <w:szCs w:val="20"/>
                <w:lang w:eastAsia="en-US"/>
              </w:rPr>
            </w:pPr>
          </w:p>
          <w:p w14:paraId="4C134DE4" w14:textId="77777777" w:rsidR="0013158E" w:rsidRDefault="0013158E" w:rsidP="0013158E">
            <w:pPr>
              <w:spacing w:after="40"/>
              <w:jc w:val="center"/>
              <w:rPr>
                <w:rFonts w:cs="Arial"/>
                <w:noProof/>
                <w:sz w:val="10"/>
                <w:szCs w:val="20"/>
                <w:lang w:eastAsia="en-US"/>
              </w:rPr>
            </w:pPr>
          </w:p>
          <w:p w14:paraId="1BA00B02" w14:textId="5FEACF29" w:rsidR="0013158E" w:rsidRDefault="0013158E" w:rsidP="0013158E">
            <w:pPr>
              <w:spacing w:after="40"/>
              <w:jc w:val="center"/>
              <w:rPr>
                <w:rFonts w:cs="Arial"/>
                <w:noProof/>
                <w:sz w:val="10"/>
                <w:szCs w:val="20"/>
                <w:lang w:eastAsia="en-US"/>
              </w:rPr>
            </w:pPr>
          </w:p>
          <w:p w14:paraId="65D303C5" w14:textId="77777777" w:rsidR="0013158E" w:rsidRDefault="0013158E" w:rsidP="0013158E">
            <w:pPr>
              <w:spacing w:after="40"/>
              <w:jc w:val="center"/>
              <w:rPr>
                <w:rFonts w:cs="Arial"/>
                <w:noProof/>
                <w:sz w:val="10"/>
                <w:szCs w:val="20"/>
                <w:lang w:eastAsia="en-US"/>
              </w:rPr>
            </w:pPr>
          </w:p>
          <w:p w14:paraId="6B4497AC" w14:textId="75424F85" w:rsidR="0013158E" w:rsidRDefault="00E108E0" w:rsidP="0013158E">
            <w:pPr>
              <w:spacing w:after="40"/>
              <w:jc w:val="center"/>
              <w:rPr>
                <w:rFonts w:cs="Arial"/>
                <w:noProof/>
                <w:sz w:val="10"/>
                <w:szCs w:val="20"/>
                <w:lang w:eastAsia="en-US"/>
              </w:rPr>
            </w:pPr>
            <w:r w:rsidRPr="00E108E0">
              <w:rPr>
                <w:rFonts w:cs="Arial"/>
                <w:noProof/>
                <w:sz w:val="10"/>
                <w:szCs w:val="20"/>
                <w:lang w:val="en-GB" w:eastAsia="en-GB"/>
              </w:rPr>
              <mc:AlternateContent>
                <mc:Choice Requires="wps">
                  <w:drawing>
                    <wp:anchor distT="0" distB="0" distL="114300" distR="114300" simplePos="0" relativeHeight="251673600" behindDoc="0" locked="0" layoutInCell="1" allowOverlap="1" wp14:anchorId="05344B20" wp14:editId="0BF1856D">
                      <wp:simplePos x="0" y="0"/>
                      <wp:positionH relativeFrom="column">
                        <wp:posOffset>2193925</wp:posOffset>
                      </wp:positionH>
                      <wp:positionV relativeFrom="paragraph">
                        <wp:posOffset>37465</wp:posOffset>
                      </wp:positionV>
                      <wp:extent cx="1778000" cy="3702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55D7B9" w14:textId="403BCD63" w:rsidR="00E108E0" w:rsidRPr="00D61BA3" w:rsidRDefault="00636030" w:rsidP="00E108E0">
                                  <w:pPr>
                                    <w:jc w:val="center"/>
                                    <w:rPr>
                                      <w:rFonts w:cs="Arial"/>
                                      <w:color w:val="FFFFFF" w:themeColor="background1"/>
                                      <w:szCs w:val="20"/>
                                    </w:rPr>
                                  </w:pPr>
                                  <w:r>
                                    <w:rPr>
                                      <w:rFonts w:cs="Arial"/>
                                      <w:color w:val="FFFFFF" w:themeColor="background1"/>
                                      <w:szCs w:val="20"/>
                                    </w:rPr>
                                    <w:t xml:space="preserve">Contract </w:t>
                                  </w:r>
                                  <w:r w:rsidR="00930E7E">
                                    <w:rPr>
                                      <w:rFonts w:cs="Arial"/>
                                      <w:color w:val="FFFFFF" w:themeColor="background1"/>
                                      <w:szCs w:val="20"/>
                                    </w:rPr>
                                    <w:t>Finance Manager</w:t>
                                  </w:r>
                                  <w:r w:rsidR="000B285D">
                                    <w:rPr>
                                      <w:rFonts w:cs="Arial"/>
                                      <w:color w:val="FFFFFF" w:themeColor="background1"/>
                                      <w:szCs w:val="20"/>
                                    </w:rPr>
                                    <w:t xml:space="preserve">s x </w:t>
                                  </w:r>
                                  <w:r w:rsidR="001D1B90">
                                    <w:rPr>
                                      <w:rFonts w:cs="Arial"/>
                                      <w:color w:val="FFFFFF" w:themeColor="background1"/>
                                      <w:szCs w:val="20"/>
                                    </w:rPr>
                                    <w:t>7</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5344B20" id="Text Box 17" o:spid="_x0000_s1030" type="#_x0000_t202" style="position:absolute;left:0;text-align:left;margin-left:172.75pt;margin-top:2.95pt;width:140pt;height:2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" fillcolor="#2a295c" stroked="f" strokeweight=".5pt">
                      <v:path arrowok="t"/>
                      <v:textbox inset="0,2mm,0,0">
                        <w:txbxContent>
                          <w:p w14:paraId="1C55D7B9" w14:textId="403BCD63" w:rsidR="00E108E0" w:rsidRPr="00D61BA3" w:rsidRDefault="00636030" w:rsidP="00E108E0">
                            <w:pPr>
                              <w:jc w:val="center"/>
                              <w:rPr>
                                <w:rFonts w:cs="Arial"/>
                                <w:color w:val="FFFFFF" w:themeColor="background1"/>
                                <w:szCs w:val="20"/>
                              </w:rPr>
                            </w:pPr>
                            <w:r>
                              <w:rPr>
                                <w:rFonts w:cs="Arial"/>
                                <w:color w:val="FFFFFF" w:themeColor="background1"/>
                                <w:szCs w:val="20"/>
                              </w:rPr>
                              <w:t xml:space="preserve">Contract </w:t>
                            </w:r>
                            <w:r w:rsidR="00930E7E">
                              <w:rPr>
                                <w:rFonts w:cs="Arial"/>
                                <w:color w:val="FFFFFF" w:themeColor="background1"/>
                                <w:szCs w:val="20"/>
                              </w:rPr>
                              <w:t>Finance Manager</w:t>
                            </w:r>
                            <w:r w:rsidR="000B285D">
                              <w:rPr>
                                <w:rFonts w:cs="Arial"/>
                                <w:color w:val="FFFFFF" w:themeColor="background1"/>
                                <w:szCs w:val="20"/>
                              </w:rPr>
                              <w:t xml:space="preserve">s x </w:t>
                            </w:r>
                            <w:r w:rsidR="001D1B90">
                              <w:rPr>
                                <w:rFonts w:cs="Arial"/>
                                <w:color w:val="FFFFFF" w:themeColor="background1"/>
                                <w:szCs w:val="20"/>
                              </w:rPr>
                              <w:t>7</w:t>
                            </w:r>
                          </w:p>
                        </w:txbxContent>
                      </v:textbox>
                    </v:shape>
                  </w:pict>
                </mc:Fallback>
              </mc:AlternateContent>
            </w:r>
          </w:p>
          <w:p w14:paraId="417B8C08" w14:textId="77777777" w:rsidR="00F0315F" w:rsidRDefault="00F0315F" w:rsidP="0013158E">
            <w:pPr>
              <w:spacing w:after="40"/>
              <w:jc w:val="center"/>
              <w:rPr>
                <w:rFonts w:cs="Arial"/>
                <w:noProof/>
                <w:sz w:val="10"/>
                <w:szCs w:val="20"/>
                <w:lang w:eastAsia="en-US"/>
              </w:rPr>
            </w:pPr>
          </w:p>
          <w:p w14:paraId="3BB7F423" w14:textId="77777777" w:rsidR="00F0315F" w:rsidRDefault="00F0315F" w:rsidP="0013158E">
            <w:pPr>
              <w:spacing w:after="40"/>
              <w:jc w:val="center"/>
              <w:rPr>
                <w:rFonts w:cs="Arial"/>
                <w:noProof/>
                <w:sz w:val="10"/>
                <w:szCs w:val="20"/>
                <w:lang w:eastAsia="en-US"/>
              </w:rPr>
            </w:pPr>
          </w:p>
          <w:p w14:paraId="1B1DA567" w14:textId="77777777" w:rsidR="00F0315F" w:rsidRDefault="00F0315F" w:rsidP="0013158E">
            <w:pPr>
              <w:spacing w:after="40"/>
              <w:jc w:val="center"/>
              <w:rPr>
                <w:rFonts w:cs="Arial"/>
                <w:noProof/>
                <w:sz w:val="10"/>
                <w:szCs w:val="20"/>
                <w:lang w:eastAsia="en-US"/>
              </w:rPr>
            </w:pPr>
          </w:p>
          <w:p w14:paraId="5B5F2D38" w14:textId="77777777" w:rsidR="00F0315F" w:rsidRDefault="00F0315F" w:rsidP="0013158E">
            <w:pPr>
              <w:spacing w:after="40"/>
              <w:jc w:val="center"/>
              <w:rPr>
                <w:rFonts w:cs="Arial"/>
                <w:noProof/>
                <w:sz w:val="10"/>
                <w:szCs w:val="20"/>
                <w:lang w:eastAsia="en-US"/>
              </w:rPr>
            </w:pPr>
          </w:p>
          <w:p w14:paraId="6D569E26" w14:textId="77777777" w:rsidR="00F0315F" w:rsidRDefault="00F0315F" w:rsidP="0013158E">
            <w:pPr>
              <w:spacing w:after="40"/>
              <w:jc w:val="center"/>
              <w:rPr>
                <w:rFonts w:cs="Arial"/>
                <w:noProof/>
                <w:sz w:val="10"/>
                <w:szCs w:val="20"/>
                <w:lang w:eastAsia="en-US"/>
              </w:rPr>
            </w:pPr>
          </w:p>
          <w:p w14:paraId="2EFE0BB8" w14:textId="77777777" w:rsidR="00F0315F" w:rsidRDefault="00F0315F" w:rsidP="0013158E">
            <w:pPr>
              <w:spacing w:after="40"/>
              <w:jc w:val="center"/>
              <w:rPr>
                <w:rFonts w:cs="Arial"/>
                <w:noProof/>
                <w:sz w:val="10"/>
                <w:szCs w:val="20"/>
                <w:lang w:eastAsia="en-US"/>
              </w:rPr>
            </w:pPr>
          </w:p>
          <w:p w14:paraId="63146BAE" w14:textId="77777777" w:rsidR="00366A73" w:rsidRPr="00D376CF" w:rsidRDefault="00366A73" w:rsidP="00366A73">
            <w:pPr>
              <w:spacing w:after="40"/>
              <w:jc w:val="center"/>
              <w:rPr>
                <w:rFonts w:cs="Arial"/>
                <w:sz w:val="14"/>
                <w:szCs w:val="20"/>
              </w:rPr>
            </w:pPr>
          </w:p>
        </w:tc>
      </w:tr>
    </w:tbl>
    <w:p w14:paraId="76EE4C46" w14:textId="77777777" w:rsidR="00366A73" w:rsidRDefault="00366A73" w:rsidP="00366A73">
      <w:pPr>
        <w:jc w:val="left"/>
        <w:rPr>
          <w:rFonts w:cs="Arial"/>
          <w:vanish/>
        </w:rPr>
      </w:pPr>
    </w:p>
    <w:p w14:paraId="2EF10E0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64A2A0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0B3A19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2EBB05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1DCE449" w14:textId="77777777" w:rsidR="00A419A8" w:rsidRDefault="00A419A8" w:rsidP="007833B1">
            <w:pPr>
              <w:pStyle w:val="ListParagraph"/>
              <w:numPr>
                <w:ilvl w:val="0"/>
                <w:numId w:val="14"/>
              </w:numPr>
              <w:rPr>
                <w:rFonts w:cs="Arial"/>
                <w:color w:val="000000" w:themeColor="text1"/>
                <w:szCs w:val="20"/>
                <w:lang w:val="en-GB"/>
              </w:rPr>
            </w:pPr>
            <w:r>
              <w:rPr>
                <w:rFonts w:cs="Arial"/>
                <w:color w:val="000000" w:themeColor="text1"/>
                <w:szCs w:val="20"/>
                <w:lang w:val="en-GB"/>
              </w:rPr>
              <w:t>Providing expert financial and commercial advice to operational management, driving financial performance through commercially sound decision making and analysis</w:t>
            </w:r>
          </w:p>
          <w:p w14:paraId="10647189" w14:textId="36D3B166" w:rsidR="001B5866" w:rsidRPr="006E1372" w:rsidRDefault="0083642D" w:rsidP="007833B1">
            <w:pPr>
              <w:numPr>
                <w:ilvl w:val="0"/>
                <w:numId w:val="14"/>
              </w:numPr>
              <w:rPr>
                <w:bCs/>
                <w:szCs w:val="22"/>
              </w:rPr>
            </w:pPr>
            <w:r>
              <w:rPr>
                <w:bCs/>
                <w:szCs w:val="22"/>
              </w:rPr>
              <w:t>Ensure all contractual obligations are known and understood to allow for maximum profit achievement</w:t>
            </w:r>
            <w:r w:rsidR="00B66318">
              <w:rPr>
                <w:bCs/>
                <w:szCs w:val="22"/>
              </w:rPr>
              <w:t xml:space="preserve"> and robust contract management </w:t>
            </w:r>
          </w:p>
          <w:p w14:paraId="18E9DDE8" w14:textId="77777777" w:rsidR="007833B1" w:rsidRDefault="007833B1" w:rsidP="007833B1">
            <w:pPr>
              <w:pStyle w:val="ListParagraph"/>
              <w:numPr>
                <w:ilvl w:val="0"/>
                <w:numId w:val="14"/>
              </w:numPr>
              <w:rPr>
                <w:rFonts w:cs="Arial"/>
                <w:color w:val="000000" w:themeColor="text1"/>
                <w:szCs w:val="20"/>
                <w:lang w:val="en-GB"/>
              </w:rPr>
            </w:pPr>
            <w:r>
              <w:rPr>
                <w:rFonts w:cs="Arial"/>
                <w:color w:val="000000" w:themeColor="text1"/>
                <w:szCs w:val="20"/>
                <w:lang w:val="en-GB"/>
              </w:rPr>
              <w:t>Agreement of annual budgets and maintaining a robust forecasting process across the remit, identifying issues and opportunities and ensuring that the operations managers have plans in place to address them</w:t>
            </w:r>
          </w:p>
          <w:p w14:paraId="392BF675" w14:textId="454A714A" w:rsidR="004C14AA" w:rsidRPr="00A61ABB" w:rsidRDefault="00756867" w:rsidP="007833B1">
            <w:pPr>
              <w:numPr>
                <w:ilvl w:val="0"/>
                <w:numId w:val="14"/>
              </w:numPr>
              <w:rPr>
                <w:bCs/>
                <w:szCs w:val="20"/>
              </w:rPr>
            </w:pPr>
            <w:r>
              <w:rPr>
                <w:bCs/>
                <w:szCs w:val="20"/>
              </w:rPr>
              <w:t xml:space="preserve">Develop and enhance contractual reporting and KPI’s </w:t>
            </w:r>
            <w:r w:rsidR="0000769C">
              <w:rPr>
                <w:bCs/>
                <w:szCs w:val="20"/>
              </w:rPr>
              <w:t xml:space="preserve">in conjunction with the Centre of Excellence teams to provide high quality insight, service line reporting, </w:t>
            </w:r>
            <w:r w:rsidR="00EE6D76">
              <w:rPr>
                <w:bCs/>
                <w:szCs w:val="20"/>
              </w:rPr>
              <w:t>to lead to quality decision making.</w:t>
            </w:r>
          </w:p>
          <w:p w14:paraId="669ABB8C" w14:textId="7371ABA7" w:rsidR="006E1372" w:rsidRPr="00C76CD8" w:rsidRDefault="00B93E44" w:rsidP="007833B1">
            <w:pPr>
              <w:numPr>
                <w:ilvl w:val="0"/>
                <w:numId w:val="14"/>
              </w:numPr>
              <w:rPr>
                <w:szCs w:val="22"/>
              </w:rPr>
            </w:pPr>
            <w:r>
              <w:rPr>
                <w:bCs/>
                <w:color w:val="000000" w:themeColor="text1"/>
                <w:szCs w:val="22"/>
              </w:rPr>
              <w:t xml:space="preserve">Lead </w:t>
            </w:r>
            <w:r w:rsidR="002A1BA1">
              <w:rPr>
                <w:bCs/>
                <w:color w:val="000000" w:themeColor="text1"/>
                <w:szCs w:val="22"/>
              </w:rPr>
              <w:t xml:space="preserve">and develop </w:t>
            </w:r>
            <w:r>
              <w:rPr>
                <w:bCs/>
                <w:color w:val="000000" w:themeColor="text1"/>
                <w:szCs w:val="22"/>
              </w:rPr>
              <w:t xml:space="preserve">the contract finance managers </w:t>
            </w:r>
            <w:r w:rsidR="00997EA1">
              <w:rPr>
                <w:bCs/>
                <w:color w:val="000000" w:themeColor="text1"/>
                <w:szCs w:val="22"/>
              </w:rPr>
              <w:t xml:space="preserve">in providing clear direction, objectives </w:t>
            </w:r>
            <w:r w:rsidR="00275855">
              <w:rPr>
                <w:bCs/>
                <w:color w:val="000000" w:themeColor="text1"/>
                <w:szCs w:val="22"/>
              </w:rPr>
              <w:t>and priorities</w:t>
            </w:r>
            <w:r w:rsidR="00C76CD8">
              <w:rPr>
                <w:bCs/>
                <w:color w:val="000000" w:themeColor="text1"/>
                <w:szCs w:val="22"/>
              </w:rPr>
              <w:t xml:space="preserve"> to enable high levels of engagement and performance.</w:t>
            </w:r>
          </w:p>
          <w:p w14:paraId="6AD30A5F" w14:textId="1E916F58" w:rsidR="00C76CD8" w:rsidRDefault="001D1B90" w:rsidP="007833B1">
            <w:pPr>
              <w:numPr>
                <w:ilvl w:val="0"/>
                <w:numId w:val="14"/>
              </w:numPr>
              <w:rPr>
                <w:szCs w:val="22"/>
              </w:rPr>
            </w:pPr>
            <w:r>
              <w:rPr>
                <w:szCs w:val="22"/>
              </w:rPr>
              <w:t>Develop benchmarking reporting to aid contracts in cost management and for future retentions and new business.</w:t>
            </w:r>
          </w:p>
          <w:p w14:paraId="4C694475" w14:textId="6EA3DAAE" w:rsidR="001D1B90" w:rsidRDefault="001D1B90" w:rsidP="007833B1">
            <w:pPr>
              <w:numPr>
                <w:ilvl w:val="0"/>
                <w:numId w:val="14"/>
              </w:numPr>
              <w:rPr>
                <w:szCs w:val="22"/>
              </w:rPr>
            </w:pPr>
            <w:r>
              <w:rPr>
                <w:szCs w:val="22"/>
              </w:rPr>
              <w:t>Ensure robust balance sheet review process in place with particular focus on lifecycle provisions.</w:t>
            </w:r>
          </w:p>
          <w:p w14:paraId="1F093216" w14:textId="0D882A18" w:rsidR="001D1B90" w:rsidRDefault="001D1B90" w:rsidP="007833B1">
            <w:pPr>
              <w:numPr>
                <w:ilvl w:val="0"/>
                <w:numId w:val="14"/>
              </w:numPr>
              <w:rPr>
                <w:szCs w:val="22"/>
              </w:rPr>
            </w:pPr>
            <w:r>
              <w:rPr>
                <w:szCs w:val="22"/>
              </w:rPr>
              <w:t>Work closely with direct report</w:t>
            </w:r>
            <w:r w:rsidR="00CA4429">
              <w:rPr>
                <w:szCs w:val="22"/>
              </w:rPr>
              <w:t>s</w:t>
            </w:r>
            <w:r>
              <w:rPr>
                <w:szCs w:val="22"/>
              </w:rPr>
              <w:t xml:space="preserve"> to ensure full understanding of contract obligations (indexation mechanisms, variations</w:t>
            </w:r>
            <w:r w:rsidR="00CA4429">
              <w:rPr>
                <w:szCs w:val="22"/>
              </w:rPr>
              <w:t>).</w:t>
            </w:r>
          </w:p>
          <w:p w14:paraId="7B49CA11" w14:textId="1181E8F1" w:rsidR="001D1B90" w:rsidRDefault="00D04229" w:rsidP="007833B1">
            <w:pPr>
              <w:numPr>
                <w:ilvl w:val="0"/>
                <w:numId w:val="14"/>
              </w:numPr>
              <w:rPr>
                <w:szCs w:val="22"/>
              </w:rPr>
            </w:pPr>
            <w:r>
              <w:rPr>
                <w:szCs w:val="22"/>
              </w:rPr>
              <w:t>Ensure new contracts are mobilized in line with bid assumptions with risks and opportunities identified.</w:t>
            </w:r>
          </w:p>
          <w:p w14:paraId="3AEAD712" w14:textId="5F5BA086" w:rsidR="00233952" w:rsidRPr="00A61ABB" w:rsidRDefault="00233952" w:rsidP="007833B1">
            <w:pPr>
              <w:numPr>
                <w:ilvl w:val="0"/>
                <w:numId w:val="14"/>
              </w:numPr>
              <w:rPr>
                <w:szCs w:val="22"/>
              </w:rPr>
            </w:pPr>
            <w:r>
              <w:rPr>
                <w:szCs w:val="22"/>
              </w:rPr>
              <w:t>Any other tasks as directed by the Government Finance Director.</w:t>
            </w:r>
          </w:p>
          <w:p w14:paraId="5919C9EB" w14:textId="77777777" w:rsidR="004C14AA" w:rsidRPr="004053B1" w:rsidRDefault="004C14AA" w:rsidP="004C14AA">
            <w:pPr>
              <w:ind w:left="360"/>
              <w:rPr>
                <w:bCs/>
                <w:szCs w:val="20"/>
              </w:rPr>
            </w:pPr>
          </w:p>
          <w:p w14:paraId="4D6410F7" w14:textId="77777777" w:rsidR="00632AD7" w:rsidRPr="00632AD7" w:rsidRDefault="00632AD7" w:rsidP="001B5866">
            <w:pPr>
              <w:spacing w:before="40" w:after="40"/>
              <w:ind w:left="360"/>
              <w:jc w:val="left"/>
              <w:rPr>
                <w:rFonts w:cs="Arial"/>
                <w:color w:val="FF0000"/>
                <w:szCs w:val="20"/>
              </w:rPr>
            </w:pPr>
          </w:p>
        </w:tc>
      </w:tr>
    </w:tbl>
    <w:p w14:paraId="76D8E6E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BF471B" w14:textId="77777777" w:rsidTr="00161F93">
        <w:trPr>
          <w:trHeight w:val="565"/>
        </w:trPr>
        <w:tc>
          <w:tcPr>
            <w:tcW w:w="10458" w:type="dxa"/>
            <w:shd w:val="clear" w:color="auto" w:fill="F2F2F2"/>
            <w:vAlign w:val="center"/>
          </w:tcPr>
          <w:p w14:paraId="7A1FEC7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B68DD34" w14:textId="77777777" w:rsidTr="00161F93">
        <w:trPr>
          <w:trHeight w:val="620"/>
        </w:trPr>
        <w:tc>
          <w:tcPr>
            <w:tcW w:w="10458" w:type="dxa"/>
          </w:tcPr>
          <w:p w14:paraId="0617A15E" w14:textId="77777777" w:rsidR="00366A73" w:rsidRPr="00C56FEC" w:rsidRDefault="00366A73" w:rsidP="00161F93">
            <w:pPr>
              <w:rPr>
                <w:rFonts w:cs="Arial"/>
                <w:b/>
                <w:sz w:val="6"/>
                <w:szCs w:val="20"/>
              </w:rPr>
            </w:pPr>
          </w:p>
          <w:p w14:paraId="53963C5C" w14:textId="0CCF9DC9" w:rsidR="001B5866" w:rsidRPr="001B5866" w:rsidRDefault="001B5866" w:rsidP="0033500D">
            <w:pPr>
              <w:numPr>
                <w:ilvl w:val="0"/>
                <w:numId w:val="14"/>
              </w:numPr>
              <w:rPr>
                <w:bCs/>
                <w:szCs w:val="22"/>
              </w:rPr>
            </w:pPr>
            <w:r w:rsidRPr="001B5866">
              <w:rPr>
                <w:bCs/>
                <w:szCs w:val="22"/>
              </w:rPr>
              <w:t xml:space="preserve">Lead the month-end process and deliver a strong management review and control process that drives top and bottom line business performance.  The process must actively engage </w:t>
            </w:r>
            <w:r w:rsidR="003B1998">
              <w:rPr>
                <w:bCs/>
                <w:szCs w:val="22"/>
              </w:rPr>
              <w:t>with the Financial Controller and Centre of Excellence.</w:t>
            </w:r>
          </w:p>
          <w:p w14:paraId="45966B84" w14:textId="4DAAAC53" w:rsidR="001B5866" w:rsidRDefault="001B5866" w:rsidP="0033500D">
            <w:pPr>
              <w:numPr>
                <w:ilvl w:val="0"/>
                <w:numId w:val="14"/>
              </w:numPr>
              <w:rPr>
                <w:bCs/>
                <w:szCs w:val="22"/>
              </w:rPr>
            </w:pPr>
            <w:r>
              <w:rPr>
                <w:bCs/>
                <w:szCs w:val="22"/>
              </w:rPr>
              <w:t>Identify key business opportunities and risks,</w:t>
            </w:r>
            <w:r w:rsidR="00D04229">
              <w:rPr>
                <w:bCs/>
                <w:szCs w:val="22"/>
              </w:rPr>
              <w:t xml:space="preserve"> </w:t>
            </w:r>
            <w:r>
              <w:rPr>
                <w:bCs/>
                <w:szCs w:val="22"/>
              </w:rPr>
              <w:t>and</w:t>
            </w:r>
            <w:r w:rsidR="00D04229">
              <w:rPr>
                <w:bCs/>
                <w:szCs w:val="22"/>
              </w:rPr>
              <w:t>,</w:t>
            </w:r>
            <w:r>
              <w:rPr>
                <w:bCs/>
                <w:szCs w:val="22"/>
              </w:rPr>
              <w:t xml:space="preserve"> working with Operational Management and site Commercial Financial Managers, ensure that opportunities are delivered and risks mitigated. Develop a process to monitor the delivery of key initiatives.</w:t>
            </w:r>
          </w:p>
          <w:p w14:paraId="36A7757B" w14:textId="683B1859" w:rsidR="001B5866" w:rsidRDefault="001B5866" w:rsidP="0033500D">
            <w:pPr>
              <w:numPr>
                <w:ilvl w:val="0"/>
                <w:numId w:val="14"/>
              </w:numPr>
              <w:rPr>
                <w:bCs/>
                <w:szCs w:val="22"/>
              </w:rPr>
            </w:pPr>
            <w:r>
              <w:rPr>
                <w:bCs/>
                <w:szCs w:val="22"/>
              </w:rPr>
              <w:t xml:space="preserve">Provide relevant and accurate commercial and financial information to meet the ad hoc requests of key stakeholders within the </w:t>
            </w:r>
            <w:r w:rsidR="00233952">
              <w:rPr>
                <w:bCs/>
                <w:szCs w:val="22"/>
              </w:rPr>
              <w:t>segment and region.</w:t>
            </w:r>
          </w:p>
          <w:p w14:paraId="5152B0F2" w14:textId="77777777" w:rsidR="001B5866" w:rsidRPr="00F973D4" w:rsidRDefault="001B5866" w:rsidP="0033500D">
            <w:pPr>
              <w:numPr>
                <w:ilvl w:val="0"/>
                <w:numId w:val="14"/>
              </w:numPr>
              <w:rPr>
                <w:bCs/>
                <w:szCs w:val="22"/>
              </w:rPr>
            </w:pPr>
            <w:r>
              <w:rPr>
                <w:bCs/>
                <w:szCs w:val="22"/>
              </w:rPr>
              <w:t xml:space="preserve">Manage and improve business reporting to meet the requirements of key stakeholders. Ensure that reporting is value adding, clear and accurate and provides actionable insight. </w:t>
            </w:r>
          </w:p>
          <w:p w14:paraId="6C5B15C5" w14:textId="2F870FA0" w:rsidR="001B5866" w:rsidRPr="004053B1" w:rsidRDefault="001B5866" w:rsidP="0033500D">
            <w:pPr>
              <w:numPr>
                <w:ilvl w:val="0"/>
                <w:numId w:val="14"/>
              </w:numPr>
              <w:rPr>
                <w:bCs/>
                <w:szCs w:val="20"/>
              </w:rPr>
            </w:pPr>
            <w:r w:rsidRPr="004053B1">
              <w:rPr>
                <w:bCs/>
                <w:szCs w:val="22"/>
              </w:rPr>
              <w:t xml:space="preserve">Support the delivery of Sales Development targets by providing commercial support </w:t>
            </w:r>
            <w:r w:rsidR="00032984">
              <w:rPr>
                <w:bCs/>
                <w:szCs w:val="22"/>
              </w:rPr>
              <w:t>on retentions and new business opportunities</w:t>
            </w:r>
            <w:r w:rsidR="00E956BE">
              <w:rPr>
                <w:bCs/>
                <w:szCs w:val="22"/>
              </w:rPr>
              <w:t>.</w:t>
            </w:r>
          </w:p>
          <w:p w14:paraId="7D5F08F2" w14:textId="618A027B" w:rsidR="001B5866" w:rsidRDefault="001B5866" w:rsidP="0033500D">
            <w:pPr>
              <w:numPr>
                <w:ilvl w:val="0"/>
                <w:numId w:val="14"/>
              </w:numPr>
              <w:rPr>
                <w:bCs/>
                <w:szCs w:val="22"/>
              </w:rPr>
            </w:pPr>
            <w:r>
              <w:rPr>
                <w:bCs/>
                <w:szCs w:val="22"/>
              </w:rPr>
              <w:t xml:space="preserve">Manage </w:t>
            </w:r>
            <w:r w:rsidR="00E956BE">
              <w:rPr>
                <w:bCs/>
                <w:szCs w:val="22"/>
              </w:rPr>
              <w:t>the contract portfolio</w:t>
            </w:r>
            <w:r>
              <w:rPr>
                <w:bCs/>
                <w:szCs w:val="22"/>
              </w:rPr>
              <w:t xml:space="preserve"> reporting to the highest standard, completing all standard reports, and providing monthly </w:t>
            </w:r>
            <w:r w:rsidR="00E956BE">
              <w:rPr>
                <w:bCs/>
                <w:szCs w:val="22"/>
              </w:rPr>
              <w:t>Business Review packs</w:t>
            </w:r>
            <w:r>
              <w:rPr>
                <w:bCs/>
                <w:szCs w:val="22"/>
              </w:rPr>
              <w:t xml:space="preserve">. </w:t>
            </w:r>
            <w:r w:rsidR="00E956BE">
              <w:rPr>
                <w:bCs/>
                <w:szCs w:val="22"/>
              </w:rPr>
              <w:t xml:space="preserve">Work with the </w:t>
            </w:r>
            <w:r w:rsidR="00717E28">
              <w:rPr>
                <w:bCs/>
                <w:szCs w:val="22"/>
              </w:rPr>
              <w:t>Business Analyst to improve and evolve all reporting in line with regional and segment requirements.</w:t>
            </w:r>
          </w:p>
          <w:p w14:paraId="41E718C9" w14:textId="3573C90E" w:rsidR="001B5866" w:rsidRPr="008831B3" w:rsidRDefault="00D2003A" w:rsidP="0033500D">
            <w:pPr>
              <w:numPr>
                <w:ilvl w:val="0"/>
                <w:numId w:val="14"/>
              </w:numPr>
              <w:rPr>
                <w:bCs/>
                <w:szCs w:val="20"/>
              </w:rPr>
            </w:pPr>
            <w:r>
              <w:rPr>
                <w:bCs/>
                <w:szCs w:val="22"/>
              </w:rPr>
              <w:t xml:space="preserve">Develop </w:t>
            </w:r>
            <w:r w:rsidR="002929FA">
              <w:rPr>
                <w:bCs/>
                <w:szCs w:val="22"/>
              </w:rPr>
              <w:t>strong working relationships with the operational stakeholders to drive contract profitability</w:t>
            </w:r>
            <w:r w:rsidR="00580120">
              <w:rPr>
                <w:bCs/>
                <w:szCs w:val="22"/>
              </w:rPr>
              <w:t xml:space="preserve"> and performance with the ability to challenge </w:t>
            </w:r>
            <w:r w:rsidR="00CD7B3F">
              <w:rPr>
                <w:bCs/>
                <w:szCs w:val="22"/>
              </w:rPr>
              <w:t>and work collaboratively.</w:t>
            </w:r>
          </w:p>
          <w:p w14:paraId="1D567E83" w14:textId="75B1ED82" w:rsidR="001B5866" w:rsidRPr="00C8637A" w:rsidRDefault="001B5866" w:rsidP="0033500D">
            <w:pPr>
              <w:numPr>
                <w:ilvl w:val="0"/>
                <w:numId w:val="14"/>
              </w:numPr>
              <w:rPr>
                <w:bCs/>
                <w:szCs w:val="22"/>
              </w:rPr>
            </w:pPr>
            <w:r w:rsidRPr="00C8637A">
              <w:rPr>
                <w:bCs/>
                <w:szCs w:val="22"/>
              </w:rPr>
              <w:t xml:space="preserve">Review process and procedure on an on-going basis and consistently drive continuous improvement and </w:t>
            </w:r>
            <w:r w:rsidR="00CD7B3F">
              <w:rPr>
                <w:bCs/>
                <w:szCs w:val="22"/>
              </w:rPr>
              <w:t xml:space="preserve">adherence and </w:t>
            </w:r>
            <w:r w:rsidR="0092404C">
              <w:rPr>
                <w:bCs/>
                <w:szCs w:val="22"/>
              </w:rPr>
              <w:t xml:space="preserve">compliance with </w:t>
            </w:r>
            <w:r w:rsidR="00DC0464">
              <w:rPr>
                <w:bCs/>
                <w:szCs w:val="22"/>
              </w:rPr>
              <w:t>new ways of working and systems.</w:t>
            </w:r>
          </w:p>
          <w:p w14:paraId="1A401DC4" w14:textId="06B25E3A" w:rsidR="004C14AA" w:rsidRDefault="001B5866" w:rsidP="0033500D">
            <w:pPr>
              <w:numPr>
                <w:ilvl w:val="0"/>
                <w:numId w:val="14"/>
              </w:numPr>
              <w:rPr>
                <w:bCs/>
                <w:szCs w:val="20"/>
              </w:rPr>
            </w:pPr>
            <w:r w:rsidRPr="00C8637A">
              <w:rPr>
                <w:bCs/>
                <w:szCs w:val="22"/>
              </w:rPr>
              <w:t xml:space="preserve">Ensure the integrity of the </w:t>
            </w:r>
            <w:r w:rsidRPr="00C8637A">
              <w:rPr>
                <w:bCs/>
                <w:szCs w:val="20"/>
              </w:rPr>
              <w:t>profit and loss account and balance sheet on a period-by-period basis.</w:t>
            </w:r>
            <w:r>
              <w:rPr>
                <w:bCs/>
                <w:szCs w:val="20"/>
              </w:rPr>
              <w:t xml:space="preserve"> </w:t>
            </w:r>
          </w:p>
          <w:p w14:paraId="4EBB3E49" w14:textId="29AAECA3" w:rsidR="0033500D" w:rsidRPr="005B76B3" w:rsidRDefault="0033500D" w:rsidP="0033500D">
            <w:pPr>
              <w:numPr>
                <w:ilvl w:val="0"/>
                <w:numId w:val="14"/>
              </w:numPr>
              <w:spacing w:after="80"/>
              <w:rPr>
                <w:bCs/>
                <w:iCs/>
                <w:szCs w:val="22"/>
              </w:rPr>
            </w:pPr>
            <w:r w:rsidRPr="005B76B3">
              <w:rPr>
                <w:szCs w:val="22"/>
              </w:rPr>
              <w:t xml:space="preserve">Develop a high performing and engaged finance team and provide opportunities to develop and progress both within the </w:t>
            </w:r>
            <w:r w:rsidR="00DC0464">
              <w:rPr>
                <w:szCs w:val="22"/>
              </w:rPr>
              <w:t>segment and the region</w:t>
            </w:r>
            <w:r w:rsidR="00AB1334">
              <w:rPr>
                <w:szCs w:val="22"/>
              </w:rPr>
              <w:t>.</w:t>
            </w:r>
          </w:p>
          <w:p w14:paraId="3CD390DA" w14:textId="4DB3FFD2" w:rsidR="00424476" w:rsidRPr="00424476" w:rsidRDefault="00424476" w:rsidP="00DC0464">
            <w:pPr>
              <w:numPr>
                <w:ilvl w:val="0"/>
                <w:numId w:val="14"/>
              </w:numPr>
              <w:rPr>
                <w:rFonts w:cs="Arial"/>
                <w:color w:val="000000" w:themeColor="text1"/>
                <w:szCs w:val="20"/>
                <w:lang w:val="en-GB"/>
              </w:rPr>
            </w:pPr>
          </w:p>
        </w:tc>
      </w:tr>
    </w:tbl>
    <w:p w14:paraId="20FADDD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F9192E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31D8C0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0AFF391" w14:textId="77777777" w:rsidTr="00161F93">
        <w:trPr>
          <w:trHeight w:val="620"/>
        </w:trPr>
        <w:tc>
          <w:tcPr>
            <w:tcW w:w="10456" w:type="dxa"/>
            <w:tcBorders>
              <w:top w:val="nil"/>
              <w:left w:val="single" w:sz="2" w:space="0" w:color="auto"/>
              <w:bottom w:val="single" w:sz="4" w:space="0" w:color="auto"/>
              <w:right w:val="single" w:sz="4" w:space="0" w:color="auto"/>
            </w:tcBorders>
          </w:tcPr>
          <w:p w14:paraId="7EBC8D43" w14:textId="77777777" w:rsidR="0033500D" w:rsidRDefault="0033500D" w:rsidP="0033500D">
            <w:pPr>
              <w:numPr>
                <w:ilvl w:val="0"/>
                <w:numId w:val="14"/>
              </w:numPr>
              <w:rPr>
                <w:szCs w:val="22"/>
              </w:rPr>
            </w:pPr>
            <w:r w:rsidRPr="006A448C">
              <w:rPr>
                <w:szCs w:val="22"/>
              </w:rPr>
              <w:t>Insightful, commercially focused reporting to aid</w:t>
            </w:r>
            <w:r>
              <w:rPr>
                <w:szCs w:val="22"/>
              </w:rPr>
              <w:t xml:space="preserve"> operational, sales and</w:t>
            </w:r>
            <w:r w:rsidRPr="006A448C">
              <w:rPr>
                <w:szCs w:val="22"/>
              </w:rPr>
              <w:t xml:space="preserve"> strategic decision making</w:t>
            </w:r>
          </w:p>
          <w:p w14:paraId="22844724" w14:textId="72565EBA" w:rsidR="0033500D" w:rsidRDefault="0033500D" w:rsidP="0033500D">
            <w:pPr>
              <w:numPr>
                <w:ilvl w:val="0"/>
                <w:numId w:val="14"/>
              </w:numPr>
              <w:rPr>
                <w:szCs w:val="22"/>
              </w:rPr>
            </w:pPr>
            <w:r>
              <w:rPr>
                <w:szCs w:val="22"/>
              </w:rPr>
              <w:t xml:space="preserve">Demonstration of continuous improvement in key performance metrics: </w:t>
            </w:r>
            <w:r w:rsidR="00B30C29">
              <w:rPr>
                <w:szCs w:val="22"/>
              </w:rPr>
              <w:t>service line reporting, labour productivity and management</w:t>
            </w:r>
            <w:r w:rsidR="00D04229">
              <w:rPr>
                <w:szCs w:val="22"/>
              </w:rPr>
              <w:t>, cost control</w:t>
            </w:r>
            <w:r w:rsidR="00B30C29">
              <w:rPr>
                <w:szCs w:val="22"/>
              </w:rPr>
              <w:t xml:space="preserve"> and benchmarking.</w:t>
            </w:r>
          </w:p>
          <w:p w14:paraId="47A9F709" w14:textId="6EB980BC" w:rsidR="0033500D" w:rsidRPr="006A448C" w:rsidRDefault="00352BC1" w:rsidP="0033500D">
            <w:pPr>
              <w:numPr>
                <w:ilvl w:val="0"/>
                <w:numId w:val="14"/>
              </w:numPr>
              <w:rPr>
                <w:szCs w:val="22"/>
              </w:rPr>
            </w:pPr>
            <w:r>
              <w:rPr>
                <w:szCs w:val="22"/>
              </w:rPr>
              <w:t xml:space="preserve">Accurate </w:t>
            </w:r>
            <w:r w:rsidR="00E30AAC">
              <w:rPr>
                <w:szCs w:val="22"/>
              </w:rPr>
              <w:t>and timely monthly reporting, budgets and forecasts.</w:t>
            </w:r>
          </w:p>
          <w:p w14:paraId="5E76EEA2" w14:textId="599DB899" w:rsidR="0033500D" w:rsidRPr="0033500D" w:rsidRDefault="00133BFF" w:rsidP="0033500D">
            <w:pPr>
              <w:numPr>
                <w:ilvl w:val="0"/>
                <w:numId w:val="14"/>
              </w:numPr>
              <w:rPr>
                <w:szCs w:val="22"/>
              </w:rPr>
            </w:pPr>
            <w:r>
              <w:rPr>
                <w:szCs w:val="22"/>
              </w:rPr>
              <w:t xml:space="preserve">All contract variations actioned in line with contractual obligations ensuring maximum profitability for </w:t>
            </w:r>
            <w:r>
              <w:rPr>
                <w:szCs w:val="22"/>
              </w:rPr>
              <w:lastRenderedPageBreak/>
              <w:t>Sodexo.</w:t>
            </w:r>
          </w:p>
          <w:p w14:paraId="13AD98F1" w14:textId="35D694BD" w:rsidR="0033500D" w:rsidRPr="0033500D" w:rsidRDefault="0087181D" w:rsidP="0033500D">
            <w:pPr>
              <w:numPr>
                <w:ilvl w:val="0"/>
                <w:numId w:val="14"/>
              </w:numPr>
              <w:rPr>
                <w:szCs w:val="22"/>
              </w:rPr>
            </w:pPr>
            <w:r>
              <w:rPr>
                <w:szCs w:val="22"/>
              </w:rPr>
              <w:t>Demonstration of collaborative and effective working relationships with all stakeholders.</w:t>
            </w:r>
          </w:p>
          <w:p w14:paraId="05D11219" w14:textId="14DADC41" w:rsidR="00B86603" w:rsidRPr="0033500D" w:rsidRDefault="0087181D" w:rsidP="0033500D">
            <w:pPr>
              <w:numPr>
                <w:ilvl w:val="0"/>
                <w:numId w:val="14"/>
              </w:numPr>
              <w:rPr>
                <w:szCs w:val="22"/>
              </w:rPr>
            </w:pPr>
            <w:r>
              <w:rPr>
                <w:szCs w:val="22"/>
              </w:rPr>
              <w:t>Leading a high performing and engaged team.</w:t>
            </w:r>
          </w:p>
        </w:tc>
      </w:tr>
    </w:tbl>
    <w:p w14:paraId="391FDB2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9044A0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26C94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669FDDD" w14:textId="77777777" w:rsidTr="004238D8">
        <w:trPr>
          <w:trHeight w:val="620"/>
        </w:trPr>
        <w:tc>
          <w:tcPr>
            <w:tcW w:w="10458" w:type="dxa"/>
            <w:tcBorders>
              <w:top w:val="nil"/>
              <w:left w:val="single" w:sz="2" w:space="0" w:color="auto"/>
              <w:bottom w:val="single" w:sz="4" w:space="0" w:color="auto"/>
              <w:right w:val="single" w:sz="4" w:space="0" w:color="auto"/>
            </w:tcBorders>
          </w:tcPr>
          <w:p w14:paraId="17D6B238" w14:textId="77777777" w:rsidR="00E71876" w:rsidRDefault="00E71876" w:rsidP="00E71876">
            <w:pPr>
              <w:autoSpaceDE w:val="0"/>
              <w:autoSpaceDN w:val="0"/>
              <w:adjustRightInd w:val="0"/>
              <w:jc w:val="left"/>
              <w:rPr>
                <w:rFonts w:eastAsiaTheme="minorEastAsia" w:cs="Arial"/>
                <w:b/>
                <w:szCs w:val="20"/>
                <w:u w:val="single"/>
                <w:lang w:val="en-GB" w:eastAsia="ja-JP"/>
              </w:rPr>
            </w:pPr>
            <w:r>
              <w:rPr>
                <w:rFonts w:eastAsiaTheme="minorEastAsia" w:cs="Arial"/>
                <w:b/>
                <w:szCs w:val="20"/>
                <w:u w:val="single"/>
                <w:lang w:val="en-GB" w:eastAsia="ja-JP"/>
              </w:rPr>
              <w:t>Essential</w:t>
            </w:r>
          </w:p>
          <w:p w14:paraId="649A142A" w14:textId="794397C1" w:rsidR="0033500D" w:rsidRPr="0033500D" w:rsidRDefault="0033500D" w:rsidP="00F92572">
            <w:pPr>
              <w:numPr>
                <w:ilvl w:val="0"/>
                <w:numId w:val="14"/>
              </w:numPr>
              <w:rPr>
                <w:szCs w:val="22"/>
              </w:rPr>
            </w:pPr>
            <w:r>
              <w:rPr>
                <w:szCs w:val="22"/>
              </w:rPr>
              <w:t>Q</w:t>
            </w:r>
            <w:r w:rsidRPr="0033500D">
              <w:rPr>
                <w:szCs w:val="22"/>
              </w:rPr>
              <w:t xml:space="preserve">ualified accountant with </w:t>
            </w:r>
            <w:r w:rsidR="009E5DF6">
              <w:rPr>
                <w:szCs w:val="22"/>
              </w:rPr>
              <w:t>comprehensive</w:t>
            </w:r>
            <w:r w:rsidRPr="0033500D">
              <w:rPr>
                <w:szCs w:val="22"/>
              </w:rPr>
              <w:t xml:space="preserve"> post qualification experience.</w:t>
            </w:r>
          </w:p>
          <w:p w14:paraId="06046C9F" w14:textId="77777777" w:rsidR="0033500D" w:rsidRDefault="0033500D" w:rsidP="00F92572">
            <w:pPr>
              <w:numPr>
                <w:ilvl w:val="0"/>
                <w:numId w:val="14"/>
              </w:numPr>
              <w:rPr>
                <w:szCs w:val="22"/>
              </w:rPr>
            </w:pPr>
            <w:r w:rsidRPr="00AB024A">
              <w:rPr>
                <w:szCs w:val="22"/>
              </w:rPr>
              <w:t>Outstanding track record in influencing decision making and performance/profit improvement.</w:t>
            </w:r>
          </w:p>
          <w:p w14:paraId="72C7CFAC" w14:textId="77777777" w:rsidR="0033500D" w:rsidRDefault="0033500D" w:rsidP="00F92572">
            <w:pPr>
              <w:numPr>
                <w:ilvl w:val="0"/>
                <w:numId w:val="14"/>
              </w:numPr>
              <w:rPr>
                <w:szCs w:val="22"/>
              </w:rPr>
            </w:pPr>
            <w:r>
              <w:rPr>
                <w:szCs w:val="22"/>
              </w:rPr>
              <w:t>Track record of delivering clear and accurate insight based reporting</w:t>
            </w:r>
            <w:r w:rsidRPr="00AB024A">
              <w:rPr>
                <w:szCs w:val="22"/>
              </w:rPr>
              <w:t xml:space="preserve"> </w:t>
            </w:r>
            <w:r>
              <w:rPr>
                <w:szCs w:val="22"/>
              </w:rPr>
              <w:t>to non-financial stakeholders.</w:t>
            </w:r>
          </w:p>
          <w:p w14:paraId="7676F75C" w14:textId="77777777" w:rsidR="0033500D" w:rsidRPr="00AB024A" w:rsidRDefault="0033500D" w:rsidP="00F92572">
            <w:pPr>
              <w:numPr>
                <w:ilvl w:val="0"/>
                <w:numId w:val="14"/>
              </w:numPr>
              <w:rPr>
                <w:szCs w:val="22"/>
              </w:rPr>
            </w:pPr>
            <w:r>
              <w:rPr>
                <w:szCs w:val="22"/>
              </w:rPr>
              <w:t xml:space="preserve">Proven ability in providing commercial support to Business Partners to drive and deliver or exceed performance targets. </w:t>
            </w:r>
          </w:p>
          <w:p w14:paraId="64B84CD6" w14:textId="77777777" w:rsidR="0033500D" w:rsidRPr="0033500D" w:rsidRDefault="0033500D" w:rsidP="00F92572">
            <w:pPr>
              <w:numPr>
                <w:ilvl w:val="0"/>
                <w:numId w:val="14"/>
              </w:numPr>
              <w:rPr>
                <w:szCs w:val="22"/>
              </w:rPr>
            </w:pPr>
            <w:r w:rsidRPr="00AB024A">
              <w:rPr>
                <w:szCs w:val="22"/>
              </w:rPr>
              <w:t>Prior experience of ensuring tight cost control in a competitive, low margin business</w:t>
            </w:r>
            <w:r w:rsidRPr="0033500D">
              <w:rPr>
                <w:szCs w:val="22"/>
              </w:rPr>
              <w:t>.</w:t>
            </w:r>
          </w:p>
          <w:p w14:paraId="74C65CD0" w14:textId="77777777" w:rsidR="002C4651" w:rsidRDefault="002C4651" w:rsidP="00F92572">
            <w:pPr>
              <w:pStyle w:val="Puces4"/>
              <w:numPr>
                <w:ilvl w:val="0"/>
                <w:numId w:val="14"/>
              </w:numPr>
            </w:pPr>
            <w:r>
              <w:t>Strong communicator with the confidence to challenge, influence and support at all levels</w:t>
            </w:r>
          </w:p>
          <w:p w14:paraId="12ACC648" w14:textId="77B40A62" w:rsidR="00C21303" w:rsidRDefault="00C21303" w:rsidP="00F92572">
            <w:pPr>
              <w:pStyle w:val="Puces4"/>
              <w:numPr>
                <w:ilvl w:val="0"/>
                <w:numId w:val="14"/>
              </w:numPr>
              <w:rPr>
                <w:rFonts w:eastAsiaTheme="minorEastAsia"/>
                <w:szCs w:val="20"/>
                <w:lang w:eastAsia="ja-JP"/>
              </w:rPr>
            </w:pPr>
            <w:r>
              <w:rPr>
                <w:rFonts w:eastAsiaTheme="minorEastAsia"/>
                <w:szCs w:val="20"/>
                <w:lang w:eastAsia="ja-JP"/>
              </w:rPr>
              <w:t>Ability to work to tight deadlines and prioritise workload</w:t>
            </w:r>
          </w:p>
          <w:p w14:paraId="191C74D2" w14:textId="62D66DB3" w:rsidR="00086196" w:rsidRDefault="00086196" w:rsidP="00F92572">
            <w:pPr>
              <w:pStyle w:val="Puces4"/>
              <w:numPr>
                <w:ilvl w:val="0"/>
                <w:numId w:val="14"/>
              </w:numPr>
              <w:rPr>
                <w:rFonts w:eastAsiaTheme="minorEastAsia"/>
                <w:szCs w:val="20"/>
                <w:lang w:eastAsia="ja-JP"/>
              </w:rPr>
            </w:pPr>
            <w:r>
              <w:rPr>
                <w:rFonts w:eastAsiaTheme="minorEastAsia"/>
                <w:szCs w:val="20"/>
                <w:lang w:eastAsia="ja-JP"/>
              </w:rPr>
              <w:t>Experienced Microsoft Office user with particular strength in excel modelling</w:t>
            </w:r>
            <w:r w:rsidR="00D04229">
              <w:rPr>
                <w:rFonts w:eastAsiaTheme="minorEastAsia"/>
                <w:szCs w:val="20"/>
                <w:lang w:eastAsia="ja-JP"/>
              </w:rPr>
              <w:t xml:space="preserve"> and reporting.</w:t>
            </w:r>
          </w:p>
          <w:p w14:paraId="1253AC3B" w14:textId="77777777" w:rsidR="00F92572" w:rsidRDefault="00F92572" w:rsidP="00F92572">
            <w:pPr>
              <w:pStyle w:val="Puces4"/>
              <w:numPr>
                <w:ilvl w:val="0"/>
                <w:numId w:val="14"/>
              </w:numPr>
              <w:rPr>
                <w:rFonts w:eastAsiaTheme="minorEastAsia"/>
                <w:szCs w:val="20"/>
                <w:lang w:eastAsia="ja-JP"/>
              </w:rPr>
            </w:pPr>
            <w:r>
              <w:rPr>
                <w:rFonts w:eastAsiaTheme="minorEastAsia"/>
                <w:szCs w:val="20"/>
                <w:lang w:eastAsia="ja-JP"/>
              </w:rPr>
              <w:t>Ability to build a strong and motivated finance team</w:t>
            </w:r>
          </w:p>
          <w:p w14:paraId="5DB25E52" w14:textId="77777777" w:rsidR="00F92572" w:rsidRDefault="00F92572" w:rsidP="00F92572">
            <w:pPr>
              <w:pStyle w:val="Puces4"/>
              <w:numPr>
                <w:ilvl w:val="0"/>
                <w:numId w:val="0"/>
              </w:numPr>
              <w:ind w:left="720"/>
              <w:rPr>
                <w:rFonts w:eastAsiaTheme="minorEastAsia"/>
                <w:szCs w:val="20"/>
                <w:lang w:eastAsia="ja-JP"/>
              </w:rPr>
            </w:pPr>
          </w:p>
          <w:p w14:paraId="50FF4644" w14:textId="77777777" w:rsidR="00086196" w:rsidRDefault="00086196" w:rsidP="00086196">
            <w:pPr>
              <w:pStyle w:val="Puces4"/>
              <w:numPr>
                <w:ilvl w:val="0"/>
                <w:numId w:val="0"/>
              </w:numPr>
              <w:ind w:left="720"/>
              <w:rPr>
                <w:rFonts w:eastAsiaTheme="minorEastAsia"/>
                <w:szCs w:val="20"/>
                <w:lang w:eastAsia="ja-JP"/>
              </w:rPr>
            </w:pPr>
          </w:p>
          <w:p w14:paraId="02404B23" w14:textId="77777777" w:rsidR="0033500D" w:rsidRPr="00CA58A6" w:rsidRDefault="0033500D" w:rsidP="0033500D">
            <w:pPr>
              <w:autoSpaceDE w:val="0"/>
              <w:autoSpaceDN w:val="0"/>
              <w:adjustRightInd w:val="0"/>
              <w:jc w:val="left"/>
              <w:rPr>
                <w:rFonts w:cs="Arial"/>
                <w:color w:val="000000"/>
                <w:szCs w:val="20"/>
                <w:lang w:eastAsia="en-GB"/>
              </w:rPr>
            </w:pPr>
          </w:p>
          <w:p w14:paraId="778F38AE" w14:textId="77777777" w:rsidR="0033500D" w:rsidRPr="009D3764" w:rsidRDefault="0033500D" w:rsidP="0033500D">
            <w:pPr>
              <w:rPr>
                <w:b/>
                <w:bCs/>
                <w:szCs w:val="20"/>
                <w:u w:val="single"/>
              </w:rPr>
            </w:pPr>
            <w:r w:rsidRPr="009D3764">
              <w:rPr>
                <w:b/>
                <w:bCs/>
                <w:szCs w:val="20"/>
                <w:u w:val="single"/>
              </w:rPr>
              <w:t>Desirable</w:t>
            </w:r>
          </w:p>
          <w:p w14:paraId="4C7E698B" w14:textId="77777777" w:rsidR="0033500D" w:rsidRPr="00CA58A6" w:rsidRDefault="0033500D" w:rsidP="0033500D">
            <w:pPr>
              <w:autoSpaceDE w:val="0"/>
              <w:autoSpaceDN w:val="0"/>
              <w:adjustRightInd w:val="0"/>
              <w:jc w:val="left"/>
              <w:rPr>
                <w:rFonts w:cs="Arial"/>
                <w:color w:val="000000"/>
                <w:szCs w:val="20"/>
                <w:lang w:eastAsia="en-GB"/>
              </w:rPr>
            </w:pPr>
          </w:p>
          <w:p w14:paraId="28A3CD7E" w14:textId="5693C4DF" w:rsidR="0033500D" w:rsidRPr="00AB024A" w:rsidRDefault="009D3764" w:rsidP="00F92572">
            <w:pPr>
              <w:numPr>
                <w:ilvl w:val="0"/>
                <w:numId w:val="14"/>
              </w:numPr>
              <w:rPr>
                <w:szCs w:val="22"/>
              </w:rPr>
            </w:pPr>
            <w:r>
              <w:rPr>
                <w:szCs w:val="22"/>
              </w:rPr>
              <w:t xml:space="preserve">Government </w:t>
            </w:r>
            <w:r w:rsidR="00265268">
              <w:rPr>
                <w:szCs w:val="22"/>
              </w:rPr>
              <w:t xml:space="preserve">industry </w:t>
            </w:r>
            <w:r>
              <w:rPr>
                <w:szCs w:val="22"/>
              </w:rPr>
              <w:t>contract experience</w:t>
            </w:r>
            <w:r w:rsidR="00FC7291">
              <w:rPr>
                <w:szCs w:val="22"/>
              </w:rPr>
              <w:t>/PFI contact experience.</w:t>
            </w:r>
          </w:p>
          <w:p w14:paraId="2F0F2601" w14:textId="312FCEBC" w:rsidR="0033500D" w:rsidRPr="00AB024A" w:rsidRDefault="00931EF4" w:rsidP="00F92572">
            <w:pPr>
              <w:numPr>
                <w:ilvl w:val="0"/>
                <w:numId w:val="14"/>
              </w:numPr>
              <w:rPr>
                <w:szCs w:val="22"/>
              </w:rPr>
            </w:pPr>
            <w:r>
              <w:rPr>
                <w:szCs w:val="22"/>
              </w:rPr>
              <w:t>SAP and Essbase/Power BI experience</w:t>
            </w:r>
          </w:p>
          <w:p w14:paraId="6F70D360" w14:textId="77777777" w:rsidR="003E0DB4" w:rsidRPr="004238D8" w:rsidRDefault="003E0DB4" w:rsidP="0038790D">
            <w:pPr>
              <w:ind w:left="720"/>
            </w:pPr>
          </w:p>
        </w:tc>
      </w:tr>
    </w:tbl>
    <w:p w14:paraId="3B3CE805" w14:textId="77777777" w:rsidR="007F02BF" w:rsidRDefault="00000000" w:rsidP="000E3EF7">
      <w:pPr>
        <w:spacing w:after="200" w:line="276" w:lineRule="auto"/>
        <w:jc w:val="left"/>
      </w:pPr>
    </w:p>
    <w:p w14:paraId="11695FC7" w14:textId="77777777" w:rsidR="00BC6CE1" w:rsidRDefault="00BC6CE1" w:rsidP="000E3EF7">
      <w:pPr>
        <w:spacing w:after="200" w:line="276" w:lineRule="auto"/>
        <w:jc w:val="left"/>
      </w:pPr>
    </w:p>
    <w:tbl>
      <w:tblPr>
        <w:tblpPr w:leftFromText="180" w:rightFromText="180" w:vertAnchor="text" w:horzAnchor="margin" w:tblpXSpec="center" w:tblpY="192"/>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7"/>
      </w:tblGrid>
      <w:tr w:rsidR="00EA3990" w:rsidRPr="00315425" w14:paraId="20368AE1" w14:textId="77777777" w:rsidTr="00D92F7B">
        <w:trPr>
          <w:trHeight w:val="776"/>
        </w:trPr>
        <w:tc>
          <w:tcPr>
            <w:tcW w:w="10377" w:type="dxa"/>
            <w:tcBorders>
              <w:top w:val="single" w:sz="2" w:space="0" w:color="auto"/>
              <w:left w:val="single" w:sz="2" w:space="0" w:color="auto"/>
              <w:bottom w:val="dotted" w:sz="2" w:space="0" w:color="auto"/>
              <w:right w:val="single" w:sz="2" w:space="0" w:color="auto"/>
            </w:tcBorders>
            <w:shd w:val="clear" w:color="auto" w:fill="F2F2F2"/>
            <w:vAlign w:val="center"/>
          </w:tcPr>
          <w:p w14:paraId="128C020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91705F9" w14:textId="77777777" w:rsidTr="00D92F7B">
        <w:trPr>
          <w:trHeight w:val="679"/>
        </w:trPr>
        <w:tc>
          <w:tcPr>
            <w:tcW w:w="10377" w:type="dxa"/>
            <w:tcBorders>
              <w:top w:val="nil"/>
              <w:left w:val="single" w:sz="2" w:space="0" w:color="auto"/>
              <w:bottom w:val="single" w:sz="4" w:space="0" w:color="auto"/>
              <w:right w:val="single" w:sz="4" w:space="0" w:color="auto"/>
            </w:tcBorders>
          </w:tcPr>
          <w:p w14:paraId="677AA663" w14:textId="77777777" w:rsidR="00EA3990" w:rsidRDefault="00EA3990" w:rsidP="00EA3990">
            <w:pPr>
              <w:spacing w:before="40"/>
              <w:jc w:val="left"/>
              <w:rPr>
                <w:rFonts w:cs="Arial"/>
                <w:color w:val="000000" w:themeColor="text1"/>
                <w:szCs w:val="20"/>
                <w:lang w:val="en-GB"/>
              </w:rPr>
            </w:pP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8"/>
              <w:gridCol w:w="4489"/>
            </w:tblGrid>
            <w:tr w:rsidR="00CC5BD6" w:rsidRPr="00375F11" w14:paraId="666339CD" w14:textId="77777777" w:rsidTr="00D92F7B">
              <w:trPr>
                <w:trHeight w:val="555"/>
              </w:trPr>
              <w:tc>
                <w:tcPr>
                  <w:tcW w:w="4438" w:type="dxa"/>
                </w:tcPr>
                <w:p w14:paraId="674E1D32" w14:textId="38FB18CA" w:rsidR="00CC5BD6" w:rsidRPr="00D92F7B" w:rsidRDefault="00CC5BD6" w:rsidP="00DE1484">
                  <w:pPr>
                    <w:pStyle w:val="Puces4"/>
                    <w:framePr w:hSpace="180" w:wrap="around" w:vAnchor="text" w:hAnchor="margin" w:xAlign="center" w:y="192"/>
                    <w:numPr>
                      <w:ilvl w:val="0"/>
                      <w:numId w:val="0"/>
                    </w:numPr>
                    <w:ind w:left="737"/>
                  </w:pPr>
                  <w:r>
                    <w:rPr>
                      <w:rFonts w:eastAsia="Times New Roman"/>
                      <w:b/>
                    </w:rPr>
                    <w:t>Growth, Client &amp; Customer Satisfaction / Quality of Services provided</w:t>
                  </w:r>
                </w:p>
              </w:tc>
              <w:tc>
                <w:tcPr>
                  <w:tcW w:w="4489" w:type="dxa"/>
                </w:tcPr>
                <w:p w14:paraId="3AC30352" w14:textId="6770C948" w:rsidR="00CC5BD6" w:rsidRPr="00375F11" w:rsidRDefault="00CC5BD6" w:rsidP="00DE1484">
                  <w:pPr>
                    <w:pStyle w:val="Puces4"/>
                    <w:framePr w:hSpace="180" w:wrap="around" w:vAnchor="text" w:hAnchor="margin" w:xAlign="center" w:y="192"/>
                    <w:ind w:left="659" w:hanging="284"/>
                    <w:rPr>
                      <w:rFonts w:eastAsia="Times New Roman"/>
                    </w:rPr>
                  </w:pPr>
                  <w:r>
                    <w:rPr>
                      <w:rFonts w:eastAsia="Times New Roman"/>
                      <w:b/>
                    </w:rPr>
                    <w:t>Leadership &amp; People Management</w:t>
                  </w:r>
                </w:p>
              </w:tc>
            </w:tr>
            <w:tr w:rsidR="00CC5BD6" w:rsidRPr="00375F11" w14:paraId="1656B684" w14:textId="77777777" w:rsidTr="00D92F7B">
              <w:trPr>
                <w:trHeight w:val="302"/>
              </w:trPr>
              <w:tc>
                <w:tcPr>
                  <w:tcW w:w="4438" w:type="dxa"/>
                </w:tcPr>
                <w:p w14:paraId="07AD6596" w14:textId="69891DD0" w:rsidR="00CC5BD6" w:rsidRPr="00375F11" w:rsidRDefault="00CC5BD6" w:rsidP="00DE1484">
                  <w:pPr>
                    <w:pStyle w:val="Puces4"/>
                    <w:framePr w:hSpace="180" w:wrap="around" w:vAnchor="text" w:hAnchor="margin" w:xAlign="center" w:y="192"/>
                    <w:ind w:left="737" w:hanging="141"/>
                    <w:rPr>
                      <w:rFonts w:eastAsia="Times New Roman"/>
                    </w:rPr>
                  </w:pPr>
                  <w:r>
                    <w:rPr>
                      <w:rFonts w:eastAsia="Times New Roman"/>
                      <w:b/>
                    </w:rPr>
                    <w:t>Rigorous management of results</w:t>
                  </w:r>
                </w:p>
              </w:tc>
              <w:tc>
                <w:tcPr>
                  <w:tcW w:w="4489" w:type="dxa"/>
                </w:tcPr>
                <w:p w14:paraId="221EE57D" w14:textId="40866D72" w:rsidR="00CC5BD6" w:rsidRPr="00375F11" w:rsidRDefault="00CC5BD6" w:rsidP="00DE1484">
                  <w:pPr>
                    <w:pStyle w:val="Puces4"/>
                    <w:framePr w:hSpace="180" w:wrap="around" w:vAnchor="text" w:hAnchor="margin" w:xAlign="center" w:y="192"/>
                    <w:ind w:left="659" w:hanging="284"/>
                    <w:rPr>
                      <w:rFonts w:eastAsia="Times New Roman"/>
                    </w:rPr>
                  </w:pPr>
                  <w:r>
                    <w:rPr>
                      <w:rFonts w:eastAsia="Times New Roman"/>
                    </w:rPr>
                    <w:t>Innovation and Change</w:t>
                  </w:r>
                </w:p>
              </w:tc>
            </w:tr>
            <w:tr w:rsidR="00CC5BD6" w:rsidRPr="00375F11" w14:paraId="42E75045" w14:textId="77777777" w:rsidTr="00D92F7B">
              <w:trPr>
                <w:trHeight w:val="290"/>
              </w:trPr>
              <w:tc>
                <w:tcPr>
                  <w:tcW w:w="4438" w:type="dxa"/>
                </w:tcPr>
                <w:p w14:paraId="17A4B215" w14:textId="23BF5CE8" w:rsidR="00CC5BD6" w:rsidRPr="00375F11" w:rsidRDefault="00CC5BD6" w:rsidP="00DE1484">
                  <w:pPr>
                    <w:pStyle w:val="Puces4"/>
                    <w:framePr w:hSpace="180" w:wrap="around" w:vAnchor="text" w:hAnchor="margin" w:xAlign="center" w:y="192"/>
                    <w:ind w:left="737" w:hanging="141"/>
                    <w:rPr>
                      <w:rFonts w:eastAsia="Times New Roman"/>
                    </w:rPr>
                  </w:pPr>
                  <w:r>
                    <w:rPr>
                      <w:rFonts w:eastAsia="Times New Roman"/>
                    </w:rPr>
                    <w:t>Brand Notoriety</w:t>
                  </w:r>
                </w:p>
              </w:tc>
              <w:tc>
                <w:tcPr>
                  <w:tcW w:w="4489" w:type="dxa"/>
                </w:tcPr>
                <w:p w14:paraId="24509816" w14:textId="03AAA4A0" w:rsidR="00CC5BD6" w:rsidRPr="00375F11" w:rsidRDefault="00CC5BD6" w:rsidP="00DE1484">
                  <w:pPr>
                    <w:pStyle w:val="Puces4"/>
                    <w:framePr w:hSpace="180" w:wrap="around" w:vAnchor="text" w:hAnchor="margin" w:xAlign="center" w:y="192"/>
                    <w:ind w:left="659" w:hanging="284"/>
                    <w:rPr>
                      <w:rFonts w:eastAsia="Times New Roman"/>
                    </w:rPr>
                  </w:pPr>
                  <w:r>
                    <w:rPr>
                      <w:rFonts w:eastAsia="Times New Roman"/>
                    </w:rPr>
                    <w:t>Business Consulting</w:t>
                  </w:r>
                </w:p>
              </w:tc>
            </w:tr>
            <w:tr w:rsidR="00CC5BD6" w14:paraId="639AC40F" w14:textId="77777777" w:rsidTr="00D92F7B">
              <w:trPr>
                <w:trHeight w:val="290"/>
              </w:trPr>
              <w:tc>
                <w:tcPr>
                  <w:tcW w:w="4438" w:type="dxa"/>
                </w:tcPr>
                <w:p w14:paraId="3EFF3D76" w14:textId="1FF1911B" w:rsidR="00CC5BD6" w:rsidRDefault="00CC5BD6" w:rsidP="00DE1484">
                  <w:pPr>
                    <w:pStyle w:val="Puces4"/>
                    <w:framePr w:hSpace="180" w:wrap="around" w:vAnchor="text" w:hAnchor="margin" w:xAlign="center" w:y="192"/>
                    <w:ind w:left="737" w:hanging="141"/>
                    <w:jc w:val="left"/>
                    <w:rPr>
                      <w:rFonts w:eastAsia="Times New Roman"/>
                    </w:rPr>
                  </w:pPr>
                  <w:r>
                    <w:rPr>
                      <w:rFonts w:eastAsia="Times New Roman"/>
                      <w:b/>
                    </w:rPr>
                    <w:t>Commercial Awareness</w:t>
                  </w:r>
                </w:p>
              </w:tc>
              <w:tc>
                <w:tcPr>
                  <w:tcW w:w="4489" w:type="dxa"/>
                </w:tcPr>
                <w:p w14:paraId="60E59BE7" w14:textId="085BBCE7" w:rsidR="00CC5BD6" w:rsidRDefault="00CC5BD6" w:rsidP="00DE1484">
                  <w:pPr>
                    <w:pStyle w:val="Puces4"/>
                    <w:framePr w:hSpace="180" w:wrap="around" w:vAnchor="text" w:hAnchor="margin" w:xAlign="center" w:y="192"/>
                    <w:ind w:left="659" w:hanging="284"/>
                    <w:jc w:val="left"/>
                    <w:rPr>
                      <w:rFonts w:eastAsia="Times New Roman"/>
                    </w:rPr>
                  </w:pPr>
                  <w:r>
                    <w:rPr>
                      <w:rFonts w:eastAsia="Times New Roman"/>
                    </w:rPr>
                    <w:t>HR Service Delivery</w:t>
                  </w:r>
                </w:p>
              </w:tc>
            </w:tr>
            <w:tr w:rsidR="00CC5BD6" w14:paraId="26A56617" w14:textId="77777777" w:rsidTr="00D92F7B">
              <w:trPr>
                <w:trHeight w:val="290"/>
              </w:trPr>
              <w:tc>
                <w:tcPr>
                  <w:tcW w:w="4438" w:type="dxa"/>
                </w:tcPr>
                <w:p w14:paraId="436056CE" w14:textId="0EA6830F" w:rsidR="00CC5BD6" w:rsidRDefault="00CC5BD6" w:rsidP="00DE1484">
                  <w:pPr>
                    <w:pStyle w:val="Puces4"/>
                    <w:framePr w:hSpace="180" w:wrap="around" w:vAnchor="text" w:hAnchor="margin" w:xAlign="center" w:y="192"/>
                    <w:ind w:left="737" w:hanging="141"/>
                    <w:rPr>
                      <w:rFonts w:eastAsia="Times New Roman"/>
                    </w:rPr>
                  </w:pPr>
                  <w:r>
                    <w:rPr>
                      <w:rFonts w:eastAsia="Times New Roman"/>
                      <w:b/>
                    </w:rPr>
                    <w:t>Employee Engagement</w:t>
                  </w:r>
                </w:p>
              </w:tc>
              <w:tc>
                <w:tcPr>
                  <w:tcW w:w="4489" w:type="dxa"/>
                </w:tcPr>
                <w:p w14:paraId="61EEF121" w14:textId="77777777" w:rsidR="00CC5BD6" w:rsidRDefault="00CC5BD6" w:rsidP="00DE1484">
                  <w:pPr>
                    <w:pStyle w:val="Puces4"/>
                    <w:framePr w:hSpace="180" w:wrap="around" w:vAnchor="text" w:hAnchor="margin" w:xAlign="center" w:y="192"/>
                    <w:numPr>
                      <w:ilvl w:val="0"/>
                      <w:numId w:val="0"/>
                    </w:numPr>
                    <w:ind w:left="851"/>
                    <w:rPr>
                      <w:rFonts w:eastAsia="Times New Roman"/>
                    </w:rPr>
                  </w:pPr>
                </w:p>
              </w:tc>
            </w:tr>
          </w:tbl>
          <w:p w14:paraId="324A57CC" w14:textId="77777777" w:rsidR="00EA3990" w:rsidRPr="00EA3990" w:rsidRDefault="00EA3990" w:rsidP="00EA3990">
            <w:pPr>
              <w:spacing w:before="40"/>
              <w:ind w:left="720"/>
              <w:jc w:val="left"/>
              <w:rPr>
                <w:rFonts w:cs="Arial"/>
                <w:color w:val="000000" w:themeColor="text1"/>
                <w:szCs w:val="20"/>
                <w:lang w:val="en-GB"/>
              </w:rPr>
            </w:pPr>
          </w:p>
        </w:tc>
      </w:tr>
    </w:tbl>
    <w:p w14:paraId="334D0BA2" w14:textId="18B5BDF6" w:rsidR="00EA3990" w:rsidRDefault="00EA3990" w:rsidP="000E3EF7">
      <w:pPr>
        <w:spacing w:after="200" w:line="276" w:lineRule="auto"/>
        <w:jc w:val="left"/>
      </w:pPr>
    </w:p>
    <w:p w14:paraId="0F4532A7" w14:textId="6CB4F18E" w:rsidR="00296A5D" w:rsidRDefault="00296A5D" w:rsidP="000E3EF7">
      <w:pPr>
        <w:spacing w:after="200" w:line="276" w:lineRule="auto"/>
        <w:jc w:val="lef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296A5D" w14:paraId="24E9BF4C" w14:textId="77777777" w:rsidTr="00296A5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hideMark/>
          </w:tcPr>
          <w:p w14:paraId="7B9BD93C" w14:textId="77777777" w:rsidR="00296A5D" w:rsidRDefault="00296A5D" w:rsidP="00296A5D">
            <w:pPr>
              <w:pStyle w:val="titregris"/>
              <w:framePr w:wrap="around" w:y="1"/>
              <w:spacing w:line="276" w:lineRule="auto"/>
              <w:rPr>
                <w:b w:val="0"/>
              </w:rPr>
            </w:pPr>
            <w:r>
              <w:rPr>
                <w:color w:val="FF0000"/>
              </w:rPr>
              <w:t>9.</w:t>
            </w:r>
            <w:r>
              <w:t xml:space="preserve">  Management Approval </w:t>
            </w:r>
            <w:r>
              <w:rPr>
                <w:b w:val="0"/>
                <w:sz w:val="16"/>
              </w:rPr>
              <w:t>–</w:t>
            </w:r>
            <w:r>
              <w:rPr>
                <w:sz w:val="16"/>
              </w:rPr>
              <w:t xml:space="preserve"> </w:t>
            </w:r>
            <w:r>
              <w:rPr>
                <w:b w:val="0"/>
                <w:sz w:val="16"/>
              </w:rPr>
              <w:t>To be completed by document owner</w:t>
            </w:r>
          </w:p>
        </w:tc>
      </w:tr>
      <w:tr w:rsidR="00296A5D" w14:paraId="52B1C200" w14:textId="77777777" w:rsidTr="00296A5D">
        <w:trPr>
          <w:trHeight w:val="620"/>
        </w:trPr>
        <w:tc>
          <w:tcPr>
            <w:tcW w:w="10456" w:type="dxa"/>
            <w:tcBorders>
              <w:top w:val="nil"/>
              <w:left w:val="single" w:sz="2" w:space="0" w:color="auto"/>
              <w:bottom w:val="single" w:sz="4" w:space="0" w:color="auto"/>
              <w:right w:val="single" w:sz="4" w:space="0" w:color="auto"/>
            </w:tcBorders>
          </w:tcPr>
          <w:p w14:paraId="365C7AAF" w14:textId="77777777" w:rsidR="00296A5D" w:rsidRDefault="00296A5D" w:rsidP="00296A5D">
            <w:pPr>
              <w:framePr w:hSpace="180" w:wrap="around" w:vAnchor="text" w:hAnchor="margin" w:xAlign="center" w:y="1"/>
              <w:spacing w:before="40" w:line="276" w:lineRule="auto"/>
              <w:jc w:val="left"/>
              <w:rPr>
                <w:rFonts w:cs="Arial"/>
                <w:color w:val="000000" w:themeColor="text1"/>
                <w:szCs w:val="20"/>
                <w:lang w:val="en-GB"/>
              </w:rPr>
            </w:pPr>
          </w:p>
          <w:tbl>
            <w:tblPr>
              <w:tblStyle w:val="TableGrid"/>
              <w:tblW w:w="0" w:type="auto"/>
              <w:tblInd w:w="0" w:type="dxa"/>
              <w:tblLayout w:type="fixed"/>
              <w:tblLook w:val="04A0" w:firstRow="1" w:lastRow="0" w:firstColumn="1" w:lastColumn="0" w:noHBand="0" w:noVBand="1"/>
            </w:tblPr>
            <w:tblGrid>
              <w:gridCol w:w="2122"/>
              <w:gridCol w:w="2991"/>
              <w:gridCol w:w="2557"/>
              <w:gridCol w:w="2557"/>
            </w:tblGrid>
            <w:tr w:rsidR="00296A5D" w14:paraId="6EC73A9F" w14:textId="77777777">
              <w:tc>
                <w:tcPr>
                  <w:tcW w:w="2122" w:type="dxa"/>
                  <w:tcBorders>
                    <w:top w:val="single" w:sz="4" w:space="0" w:color="auto"/>
                    <w:left w:val="single" w:sz="4" w:space="0" w:color="auto"/>
                    <w:bottom w:val="single" w:sz="4" w:space="0" w:color="auto"/>
                    <w:right w:val="single" w:sz="4" w:space="0" w:color="auto"/>
                  </w:tcBorders>
                  <w:hideMark/>
                </w:tcPr>
                <w:p w14:paraId="14DB6EA2" w14:textId="77777777" w:rsidR="00296A5D" w:rsidRDefault="00296A5D" w:rsidP="00296A5D">
                  <w:pPr>
                    <w:framePr w:hSpace="180" w:wrap="around" w:vAnchor="text" w:hAnchor="margin" w:xAlign="center" w:y="1"/>
                    <w:spacing w:before="40"/>
                    <w:jc w:val="left"/>
                    <w:rPr>
                      <w:rFonts w:cs="Arial"/>
                      <w:color w:val="000000" w:themeColor="text1"/>
                      <w:szCs w:val="20"/>
                      <w:lang w:val="en-GB"/>
                    </w:rPr>
                  </w:pPr>
                  <w:r>
                    <w:rPr>
                      <w:rFonts w:cs="Arial"/>
                      <w:color w:val="000000" w:themeColor="text1"/>
                      <w:szCs w:val="20"/>
                      <w:lang w:val="en-GB"/>
                    </w:rPr>
                    <w:t>Version</w:t>
                  </w:r>
                </w:p>
              </w:tc>
              <w:tc>
                <w:tcPr>
                  <w:tcW w:w="2991" w:type="dxa"/>
                  <w:tcBorders>
                    <w:top w:val="single" w:sz="4" w:space="0" w:color="auto"/>
                    <w:left w:val="single" w:sz="4" w:space="0" w:color="auto"/>
                    <w:bottom w:val="single" w:sz="4" w:space="0" w:color="auto"/>
                    <w:right w:val="single" w:sz="4" w:space="0" w:color="auto"/>
                  </w:tcBorders>
                  <w:hideMark/>
                </w:tcPr>
                <w:p w14:paraId="412FF546" w14:textId="77777777" w:rsidR="00296A5D" w:rsidRDefault="00296A5D" w:rsidP="00296A5D">
                  <w:pPr>
                    <w:framePr w:hSpace="180" w:wrap="around" w:vAnchor="text" w:hAnchor="margin" w:xAlign="center" w:y="1"/>
                    <w:spacing w:before="40"/>
                    <w:jc w:val="left"/>
                    <w:rPr>
                      <w:rFonts w:cs="Arial"/>
                      <w:color w:val="000000" w:themeColor="text1"/>
                      <w:szCs w:val="20"/>
                      <w:lang w:val="en-GB"/>
                    </w:rPr>
                  </w:pPr>
                  <w:r>
                    <w:rPr>
                      <w:rFonts w:cs="Arial"/>
                      <w:color w:val="000000" w:themeColor="text1"/>
                      <w:szCs w:val="20"/>
                      <w:lang w:val="en-GB"/>
                    </w:rPr>
                    <w:t>1</w:t>
                  </w:r>
                </w:p>
              </w:tc>
              <w:tc>
                <w:tcPr>
                  <w:tcW w:w="2557" w:type="dxa"/>
                  <w:tcBorders>
                    <w:top w:val="single" w:sz="4" w:space="0" w:color="auto"/>
                    <w:left w:val="single" w:sz="4" w:space="0" w:color="auto"/>
                    <w:bottom w:val="single" w:sz="4" w:space="0" w:color="auto"/>
                    <w:right w:val="single" w:sz="4" w:space="0" w:color="auto"/>
                  </w:tcBorders>
                  <w:hideMark/>
                </w:tcPr>
                <w:p w14:paraId="67E14FA6" w14:textId="77777777" w:rsidR="00296A5D" w:rsidRDefault="00296A5D" w:rsidP="00296A5D">
                  <w:pPr>
                    <w:framePr w:hSpace="180" w:wrap="around" w:vAnchor="text" w:hAnchor="margin" w:xAlign="center" w:y="1"/>
                    <w:spacing w:before="40"/>
                    <w:jc w:val="left"/>
                    <w:rPr>
                      <w:rFonts w:cs="Arial"/>
                      <w:color w:val="000000" w:themeColor="text1"/>
                      <w:szCs w:val="20"/>
                      <w:lang w:val="en-GB"/>
                    </w:rPr>
                  </w:pPr>
                  <w:r>
                    <w:rPr>
                      <w:rFonts w:cs="Arial"/>
                      <w:color w:val="000000" w:themeColor="text1"/>
                      <w:szCs w:val="20"/>
                      <w:lang w:val="en-GB"/>
                    </w:rPr>
                    <w:t>Date</w:t>
                  </w:r>
                </w:p>
              </w:tc>
              <w:tc>
                <w:tcPr>
                  <w:tcW w:w="2557" w:type="dxa"/>
                  <w:tcBorders>
                    <w:top w:val="single" w:sz="4" w:space="0" w:color="auto"/>
                    <w:left w:val="single" w:sz="4" w:space="0" w:color="auto"/>
                    <w:bottom w:val="single" w:sz="4" w:space="0" w:color="auto"/>
                    <w:right w:val="single" w:sz="4" w:space="0" w:color="auto"/>
                  </w:tcBorders>
                  <w:hideMark/>
                </w:tcPr>
                <w:p w14:paraId="49B98F9C" w14:textId="2CC5CB0C" w:rsidR="00296A5D" w:rsidRDefault="00D04229" w:rsidP="00296A5D">
                  <w:pPr>
                    <w:framePr w:hSpace="180" w:wrap="around" w:vAnchor="text" w:hAnchor="margin" w:xAlign="center" w:y="1"/>
                    <w:spacing w:before="40"/>
                    <w:jc w:val="left"/>
                    <w:rPr>
                      <w:rFonts w:cs="Arial"/>
                      <w:color w:val="000000" w:themeColor="text1"/>
                      <w:szCs w:val="20"/>
                      <w:lang w:val="en-GB"/>
                    </w:rPr>
                  </w:pPr>
                  <w:r>
                    <w:rPr>
                      <w:rFonts w:cs="Arial"/>
                      <w:color w:val="000000" w:themeColor="text1"/>
                      <w:szCs w:val="20"/>
                      <w:lang w:val="en-GB"/>
                    </w:rPr>
                    <w:t>28</w:t>
                  </w:r>
                  <w:r w:rsidRPr="00D04229">
                    <w:rPr>
                      <w:rFonts w:cs="Arial"/>
                      <w:color w:val="000000" w:themeColor="text1"/>
                      <w:szCs w:val="20"/>
                      <w:vertAlign w:val="superscript"/>
                      <w:lang w:val="en-GB"/>
                    </w:rPr>
                    <w:t>th</w:t>
                  </w:r>
                  <w:r>
                    <w:rPr>
                      <w:rFonts w:cs="Arial"/>
                      <w:color w:val="000000" w:themeColor="text1"/>
                      <w:szCs w:val="20"/>
                      <w:lang w:val="en-GB"/>
                    </w:rPr>
                    <w:t xml:space="preserve"> January 2023</w:t>
                  </w:r>
                </w:p>
              </w:tc>
            </w:tr>
            <w:tr w:rsidR="00296A5D" w14:paraId="03C62A98" w14:textId="77777777">
              <w:tc>
                <w:tcPr>
                  <w:tcW w:w="2122" w:type="dxa"/>
                  <w:tcBorders>
                    <w:top w:val="single" w:sz="4" w:space="0" w:color="auto"/>
                    <w:left w:val="single" w:sz="4" w:space="0" w:color="auto"/>
                    <w:bottom w:val="single" w:sz="4" w:space="0" w:color="auto"/>
                    <w:right w:val="single" w:sz="4" w:space="0" w:color="auto"/>
                  </w:tcBorders>
                  <w:hideMark/>
                </w:tcPr>
                <w:p w14:paraId="6C20D5A1" w14:textId="77777777" w:rsidR="00296A5D" w:rsidRDefault="00296A5D" w:rsidP="00296A5D">
                  <w:pPr>
                    <w:framePr w:hSpace="180" w:wrap="around" w:vAnchor="text" w:hAnchor="margin" w:xAlign="center" w:y="1"/>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hideMark/>
                </w:tcPr>
                <w:p w14:paraId="42B062AC" w14:textId="0298B246" w:rsidR="00296A5D" w:rsidRDefault="00296A5D" w:rsidP="00296A5D">
                  <w:pPr>
                    <w:framePr w:hSpace="180" w:wrap="around" w:vAnchor="text" w:hAnchor="margin" w:xAlign="center" w:y="1"/>
                    <w:spacing w:before="40"/>
                    <w:jc w:val="left"/>
                    <w:rPr>
                      <w:rFonts w:cs="Arial"/>
                      <w:color w:val="000000" w:themeColor="text1"/>
                      <w:szCs w:val="20"/>
                      <w:lang w:val="en-GB"/>
                    </w:rPr>
                  </w:pPr>
                  <w:r>
                    <w:rPr>
                      <w:rFonts w:cs="Arial"/>
                      <w:color w:val="000000" w:themeColor="text1"/>
                      <w:szCs w:val="20"/>
                      <w:lang w:val="en-GB"/>
                    </w:rPr>
                    <w:t>Jo Seaton</w:t>
                  </w:r>
                </w:p>
              </w:tc>
            </w:tr>
          </w:tbl>
          <w:p w14:paraId="645CAEFB" w14:textId="77777777" w:rsidR="00296A5D" w:rsidRDefault="00296A5D" w:rsidP="00296A5D">
            <w:pPr>
              <w:framePr w:hSpace="180" w:wrap="around" w:vAnchor="text" w:hAnchor="margin" w:xAlign="center" w:y="1"/>
              <w:spacing w:before="40" w:line="276" w:lineRule="auto"/>
              <w:ind w:left="720"/>
              <w:jc w:val="left"/>
              <w:rPr>
                <w:rFonts w:cs="Arial"/>
                <w:color w:val="000000" w:themeColor="text1"/>
                <w:szCs w:val="20"/>
                <w:lang w:val="en-GB"/>
              </w:rPr>
            </w:pPr>
          </w:p>
        </w:tc>
      </w:tr>
    </w:tbl>
    <w:p w14:paraId="74A3B9F6" w14:textId="77777777" w:rsidR="00296A5D" w:rsidRPr="00366A73" w:rsidRDefault="00296A5D" w:rsidP="000E3EF7">
      <w:pPr>
        <w:spacing w:after="200" w:line="276" w:lineRule="auto"/>
        <w:jc w:val="left"/>
      </w:pPr>
    </w:p>
    <w:sectPr w:rsidR="00296A5D" w:rsidRPr="00366A73" w:rsidSect="00E71588">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F0D6" w14:textId="77777777" w:rsidR="0068536D" w:rsidRDefault="0068536D" w:rsidP="00E71588">
      <w:r>
        <w:separator/>
      </w:r>
    </w:p>
  </w:endnote>
  <w:endnote w:type="continuationSeparator" w:id="0">
    <w:p w14:paraId="6C59205D" w14:textId="77777777" w:rsidR="0068536D" w:rsidRDefault="0068536D" w:rsidP="00E7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54B8" w14:textId="77777777" w:rsidR="0068536D" w:rsidRDefault="0068536D" w:rsidP="00E71588">
      <w:r>
        <w:separator/>
      </w:r>
    </w:p>
  </w:footnote>
  <w:footnote w:type="continuationSeparator" w:id="0">
    <w:p w14:paraId="04AFFAEF" w14:textId="77777777" w:rsidR="0068536D" w:rsidRDefault="0068536D" w:rsidP="00E7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E004C5C"/>
    <w:multiLevelType w:val="hybridMultilevel"/>
    <w:tmpl w:val="3F74A3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935FE"/>
    <w:multiLevelType w:val="hybridMultilevel"/>
    <w:tmpl w:val="424CE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4620E"/>
    <w:multiLevelType w:val="hybridMultilevel"/>
    <w:tmpl w:val="EDC8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63F45"/>
    <w:multiLevelType w:val="hybridMultilevel"/>
    <w:tmpl w:val="FD927D7C"/>
    <w:lvl w:ilvl="0" w:tplc="52329E0A">
      <w:numFmt w:val="bullet"/>
      <w:lvlText w:val=""/>
      <w:lvlJc w:val="left"/>
      <w:pPr>
        <w:tabs>
          <w:tab w:val="num" w:pos="360"/>
        </w:tabs>
        <w:ind w:left="360" w:hanging="360"/>
      </w:pPr>
      <w:rPr>
        <w:rFonts w:ascii="Wingdings" w:hAnsi="Wingdings" w:cs="Times New Roman"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1080"/>
        </w:tabs>
        <w:ind w:left="1080" w:hanging="360"/>
      </w:pPr>
      <w:rPr>
        <w:rFonts w:ascii="Wingdings" w:hAnsi="Wingdings" w:hint="default"/>
        <w:color w:val="FF0000"/>
        <w:sz w:val="16"/>
      </w:rPr>
    </w:lvl>
    <w:lvl w:ilvl="1" w:tplc="F2B6EFF6">
      <w:start w:val="1"/>
      <w:numFmt w:val="bullet"/>
      <w:lvlText w:val="−"/>
      <w:lvlJc w:val="left"/>
      <w:pPr>
        <w:tabs>
          <w:tab w:val="num" w:pos="1800"/>
        </w:tabs>
        <w:ind w:left="1800" w:hanging="360"/>
      </w:pPr>
      <w:rPr>
        <w:rFonts w:ascii="Arial" w:hAnsi="Arial" w:hint="default"/>
        <w:color w:val="FF0000"/>
        <w:sz w:val="16"/>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3A21EA2"/>
    <w:multiLevelType w:val="hybridMultilevel"/>
    <w:tmpl w:val="ED821264"/>
    <w:lvl w:ilvl="0" w:tplc="52329E0A">
      <w:numFmt w:val="bullet"/>
      <w:lvlText w:val=""/>
      <w:lvlJc w:val="left"/>
      <w:pPr>
        <w:tabs>
          <w:tab w:val="num" w:pos="360"/>
        </w:tabs>
        <w:ind w:left="360" w:hanging="360"/>
      </w:pPr>
      <w:rPr>
        <w:rFonts w:ascii="Wingdings" w:hAnsi="Wingdings" w:cs="Times New Roman"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65FE7"/>
    <w:multiLevelType w:val="hybridMultilevel"/>
    <w:tmpl w:val="E500D02C"/>
    <w:lvl w:ilvl="0" w:tplc="52329E0A">
      <w:numFmt w:val="bullet"/>
      <w:lvlText w:val=""/>
      <w:lvlJc w:val="left"/>
      <w:pPr>
        <w:tabs>
          <w:tab w:val="num" w:pos="360"/>
        </w:tabs>
        <w:ind w:left="360" w:hanging="360"/>
      </w:pPr>
      <w:rPr>
        <w:rFonts w:ascii="Wingdings" w:hAnsi="Wingdings" w:cs="Times New Roman"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50F40"/>
    <w:multiLevelType w:val="hybridMultilevel"/>
    <w:tmpl w:val="0E42376A"/>
    <w:lvl w:ilvl="0" w:tplc="697EA8A6">
      <w:numFmt w:val="bullet"/>
      <w:lvlText w:val=""/>
      <w:lvlJc w:val="left"/>
      <w:pPr>
        <w:tabs>
          <w:tab w:val="num" w:pos="360"/>
        </w:tabs>
        <w:ind w:left="360" w:hanging="360"/>
      </w:pPr>
      <w:rPr>
        <w:rFonts w:ascii="Wingdings" w:hAnsi="Wingdings" w:cs="Times New Roman" w:hint="default"/>
        <w:color w:val="FF0000"/>
        <w:sz w:val="32"/>
        <w:szCs w:val="32"/>
      </w:rPr>
    </w:lvl>
    <w:lvl w:ilvl="1" w:tplc="00E8294C">
      <w:numFmt w:val="bullet"/>
      <w:lvlText w:val=""/>
      <w:lvlJc w:val="left"/>
      <w:pPr>
        <w:tabs>
          <w:tab w:val="num" w:pos="1440"/>
        </w:tabs>
        <w:ind w:left="1440" w:hanging="360"/>
      </w:pPr>
      <w:rPr>
        <w:rFonts w:ascii="Wingdings" w:hAnsi="Wingdings" w:cs="Times New Roman" w:hint="default"/>
        <w:color w:val="000000"/>
        <w:sz w:val="32"/>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3842265">
    <w:abstractNumId w:val="10"/>
  </w:num>
  <w:num w:numId="2" w16cid:durableId="1865247839">
    <w:abstractNumId w:val="15"/>
  </w:num>
  <w:num w:numId="3" w16cid:durableId="1745030406">
    <w:abstractNumId w:val="2"/>
  </w:num>
  <w:num w:numId="4" w16cid:durableId="390077611">
    <w:abstractNumId w:val="13"/>
  </w:num>
  <w:num w:numId="5" w16cid:durableId="1707094935">
    <w:abstractNumId w:val="8"/>
  </w:num>
  <w:num w:numId="6" w16cid:durableId="253902507">
    <w:abstractNumId w:val="3"/>
  </w:num>
  <w:num w:numId="7" w16cid:durableId="1419866626">
    <w:abstractNumId w:val="16"/>
  </w:num>
  <w:num w:numId="8" w16cid:durableId="422722967">
    <w:abstractNumId w:val="9"/>
  </w:num>
  <w:num w:numId="9" w16cid:durableId="1757479621">
    <w:abstractNumId w:val="19"/>
  </w:num>
  <w:num w:numId="10" w16cid:durableId="221136201">
    <w:abstractNumId w:val="20"/>
  </w:num>
  <w:num w:numId="11" w16cid:durableId="2095780098">
    <w:abstractNumId w:val="12"/>
  </w:num>
  <w:num w:numId="12" w16cid:durableId="2038001884">
    <w:abstractNumId w:val="0"/>
  </w:num>
  <w:num w:numId="13" w16cid:durableId="452137975">
    <w:abstractNumId w:val="17"/>
  </w:num>
  <w:num w:numId="14" w16cid:durableId="1858808817">
    <w:abstractNumId w:val="6"/>
  </w:num>
  <w:num w:numId="15" w16cid:durableId="321740472">
    <w:abstractNumId w:val="18"/>
  </w:num>
  <w:num w:numId="16" w16cid:durableId="1695961544">
    <w:abstractNumId w:val="5"/>
  </w:num>
  <w:num w:numId="17" w16cid:durableId="1016734455">
    <w:abstractNumId w:val="1"/>
  </w:num>
  <w:num w:numId="18" w16cid:durableId="265618998">
    <w:abstractNumId w:val="21"/>
  </w:num>
  <w:num w:numId="19" w16cid:durableId="179008796">
    <w:abstractNumId w:val="11"/>
  </w:num>
  <w:num w:numId="20" w16cid:durableId="1897547648">
    <w:abstractNumId w:val="14"/>
  </w:num>
  <w:num w:numId="21" w16cid:durableId="1251541435">
    <w:abstractNumId w:val="7"/>
  </w:num>
  <w:num w:numId="22" w16cid:durableId="1842968906">
    <w:abstractNumId w:val="4"/>
  </w:num>
  <w:num w:numId="23" w16cid:durableId="2420283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215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769C"/>
    <w:rsid w:val="00022996"/>
    <w:rsid w:val="00023BCF"/>
    <w:rsid w:val="00032984"/>
    <w:rsid w:val="00086196"/>
    <w:rsid w:val="000B285D"/>
    <w:rsid w:val="000E3EF7"/>
    <w:rsid w:val="000F35E2"/>
    <w:rsid w:val="0010357E"/>
    <w:rsid w:val="00104BDE"/>
    <w:rsid w:val="00120481"/>
    <w:rsid w:val="00130AC5"/>
    <w:rsid w:val="0013158E"/>
    <w:rsid w:val="00133BFF"/>
    <w:rsid w:val="00144E5D"/>
    <w:rsid w:val="00167741"/>
    <w:rsid w:val="001B5866"/>
    <w:rsid w:val="001D1B90"/>
    <w:rsid w:val="001D79F1"/>
    <w:rsid w:val="001E64A2"/>
    <w:rsid w:val="001E6DC2"/>
    <w:rsid w:val="001F0A0E"/>
    <w:rsid w:val="001F1F6A"/>
    <w:rsid w:val="00206C83"/>
    <w:rsid w:val="00233952"/>
    <w:rsid w:val="002448BA"/>
    <w:rsid w:val="00265268"/>
    <w:rsid w:val="0026691F"/>
    <w:rsid w:val="00275855"/>
    <w:rsid w:val="00281161"/>
    <w:rsid w:val="002929FA"/>
    <w:rsid w:val="00293E5D"/>
    <w:rsid w:val="00296A5D"/>
    <w:rsid w:val="002A1BA1"/>
    <w:rsid w:val="002B1DC6"/>
    <w:rsid w:val="002C4651"/>
    <w:rsid w:val="00302549"/>
    <w:rsid w:val="00302C11"/>
    <w:rsid w:val="0033500D"/>
    <w:rsid w:val="00352BC1"/>
    <w:rsid w:val="00355E42"/>
    <w:rsid w:val="00366A73"/>
    <w:rsid w:val="0038790D"/>
    <w:rsid w:val="00397DE8"/>
    <w:rsid w:val="003B1998"/>
    <w:rsid w:val="003E0DB4"/>
    <w:rsid w:val="00404BB8"/>
    <w:rsid w:val="004238D8"/>
    <w:rsid w:val="00424476"/>
    <w:rsid w:val="00444BF8"/>
    <w:rsid w:val="004C14AA"/>
    <w:rsid w:val="004D170A"/>
    <w:rsid w:val="004D6823"/>
    <w:rsid w:val="00520545"/>
    <w:rsid w:val="0056568C"/>
    <w:rsid w:val="00580120"/>
    <w:rsid w:val="00593FBA"/>
    <w:rsid w:val="005B629C"/>
    <w:rsid w:val="005B76B3"/>
    <w:rsid w:val="005E5B63"/>
    <w:rsid w:val="00601822"/>
    <w:rsid w:val="00613392"/>
    <w:rsid w:val="00616B0B"/>
    <w:rsid w:val="00632AD7"/>
    <w:rsid w:val="00636030"/>
    <w:rsid w:val="00643C43"/>
    <w:rsid w:val="00646B79"/>
    <w:rsid w:val="00656519"/>
    <w:rsid w:val="00664201"/>
    <w:rsid w:val="00674674"/>
    <w:rsid w:val="006802C0"/>
    <w:rsid w:val="00682C43"/>
    <w:rsid w:val="0068536D"/>
    <w:rsid w:val="006C7C4E"/>
    <w:rsid w:val="006E1372"/>
    <w:rsid w:val="00705576"/>
    <w:rsid w:val="00706946"/>
    <w:rsid w:val="00717E28"/>
    <w:rsid w:val="00745A24"/>
    <w:rsid w:val="00756867"/>
    <w:rsid w:val="007833B1"/>
    <w:rsid w:val="007A1803"/>
    <w:rsid w:val="007D6357"/>
    <w:rsid w:val="007F3143"/>
    <w:rsid w:val="007F602D"/>
    <w:rsid w:val="00807A88"/>
    <w:rsid w:val="00814524"/>
    <w:rsid w:val="0083642D"/>
    <w:rsid w:val="0087181D"/>
    <w:rsid w:val="00894AE6"/>
    <w:rsid w:val="008B64DE"/>
    <w:rsid w:val="008C006B"/>
    <w:rsid w:val="008C169F"/>
    <w:rsid w:val="008D1A2B"/>
    <w:rsid w:val="0092404C"/>
    <w:rsid w:val="00930E7E"/>
    <w:rsid w:val="00931EF4"/>
    <w:rsid w:val="00997EA1"/>
    <w:rsid w:val="009D3764"/>
    <w:rsid w:val="009E5DF6"/>
    <w:rsid w:val="009F4DE7"/>
    <w:rsid w:val="00A37146"/>
    <w:rsid w:val="00A419A8"/>
    <w:rsid w:val="00A61ABB"/>
    <w:rsid w:val="00A636AC"/>
    <w:rsid w:val="00A76083"/>
    <w:rsid w:val="00AB1334"/>
    <w:rsid w:val="00AD1DEC"/>
    <w:rsid w:val="00AD211B"/>
    <w:rsid w:val="00AD5E44"/>
    <w:rsid w:val="00B30C29"/>
    <w:rsid w:val="00B32DF4"/>
    <w:rsid w:val="00B66318"/>
    <w:rsid w:val="00B70457"/>
    <w:rsid w:val="00B75DAD"/>
    <w:rsid w:val="00B86603"/>
    <w:rsid w:val="00B93E44"/>
    <w:rsid w:val="00BC6CE1"/>
    <w:rsid w:val="00C06D2F"/>
    <w:rsid w:val="00C21303"/>
    <w:rsid w:val="00C4467B"/>
    <w:rsid w:val="00C4695A"/>
    <w:rsid w:val="00C61430"/>
    <w:rsid w:val="00C76CD8"/>
    <w:rsid w:val="00CA4429"/>
    <w:rsid w:val="00CC0297"/>
    <w:rsid w:val="00CC2929"/>
    <w:rsid w:val="00CC5BD6"/>
    <w:rsid w:val="00CD7B3F"/>
    <w:rsid w:val="00D04229"/>
    <w:rsid w:val="00D11430"/>
    <w:rsid w:val="00D2003A"/>
    <w:rsid w:val="00D9016B"/>
    <w:rsid w:val="00D91B64"/>
    <w:rsid w:val="00D92F7B"/>
    <w:rsid w:val="00D949FB"/>
    <w:rsid w:val="00DC0464"/>
    <w:rsid w:val="00DE1484"/>
    <w:rsid w:val="00DE5E49"/>
    <w:rsid w:val="00E108E0"/>
    <w:rsid w:val="00E30AAC"/>
    <w:rsid w:val="00E31AA0"/>
    <w:rsid w:val="00E33C91"/>
    <w:rsid w:val="00E67BDE"/>
    <w:rsid w:val="00E71588"/>
    <w:rsid w:val="00E71876"/>
    <w:rsid w:val="00E86121"/>
    <w:rsid w:val="00E956BE"/>
    <w:rsid w:val="00EA3990"/>
    <w:rsid w:val="00EA4C16"/>
    <w:rsid w:val="00EA5822"/>
    <w:rsid w:val="00ED34D4"/>
    <w:rsid w:val="00EE6D76"/>
    <w:rsid w:val="00EF6ED7"/>
    <w:rsid w:val="00F0315F"/>
    <w:rsid w:val="00F479E6"/>
    <w:rsid w:val="00F8319D"/>
    <w:rsid w:val="00F92572"/>
    <w:rsid w:val="00FA05F4"/>
    <w:rsid w:val="00FC7291"/>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8E62"/>
  <w15:docId w15:val="{17B44DAE-51FA-4D0D-B86A-14A210E0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iPriority w:val="99"/>
    <w:unhideWhenUsed/>
    <w:rsid w:val="00E71588"/>
    <w:pPr>
      <w:tabs>
        <w:tab w:val="center" w:pos="4513"/>
        <w:tab w:val="right" w:pos="9026"/>
      </w:tabs>
    </w:pPr>
  </w:style>
  <w:style w:type="character" w:customStyle="1" w:styleId="HeaderChar">
    <w:name w:val="Header Char"/>
    <w:basedOn w:val="DefaultParagraphFont"/>
    <w:link w:val="Header"/>
    <w:uiPriority w:val="99"/>
    <w:rsid w:val="00E71588"/>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E71588"/>
    <w:pPr>
      <w:tabs>
        <w:tab w:val="center" w:pos="4513"/>
        <w:tab w:val="right" w:pos="9026"/>
      </w:tabs>
    </w:pPr>
  </w:style>
  <w:style w:type="character" w:customStyle="1" w:styleId="FooterChar">
    <w:name w:val="Footer Char"/>
    <w:basedOn w:val="DefaultParagraphFont"/>
    <w:link w:val="Footer"/>
    <w:uiPriority w:val="99"/>
    <w:rsid w:val="00E71588"/>
    <w:rPr>
      <w:rFonts w:ascii="Arial" w:eastAsia="Times New Roman" w:hAnsi="Arial" w:cs="Times New Roman"/>
      <w:sz w:val="20"/>
      <w:szCs w:val="24"/>
      <w:lang w:val="en-US" w:eastAsia="fr-FR"/>
    </w:rPr>
  </w:style>
  <w:style w:type="paragraph" w:customStyle="1" w:styleId="Default">
    <w:name w:val="Default"/>
    <w:basedOn w:val="Normal"/>
    <w:rsid w:val="005B76B3"/>
    <w:pPr>
      <w:autoSpaceDE w:val="0"/>
      <w:autoSpaceDN w:val="0"/>
      <w:jc w:val="left"/>
    </w:pPr>
    <w:rPr>
      <w:rFonts w:eastAsiaTheme="minorHAnsi" w:cs="Arial"/>
      <w:color w:val="000000"/>
      <w:sz w:val="24"/>
      <w:lang w:val="en-GB" w:eastAsia="en-US"/>
    </w:rPr>
  </w:style>
  <w:style w:type="table" w:styleId="TableGrid">
    <w:name w:val="Table Grid"/>
    <w:basedOn w:val="TableNormal"/>
    <w:uiPriority w:val="59"/>
    <w:rsid w:val="00296A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236">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61438185">
      <w:bodyDiv w:val="1"/>
      <w:marLeft w:val="0"/>
      <w:marRight w:val="0"/>
      <w:marTop w:val="0"/>
      <w:marBottom w:val="0"/>
      <w:divBdr>
        <w:top w:val="none" w:sz="0" w:space="0" w:color="auto"/>
        <w:left w:val="none" w:sz="0" w:space="0" w:color="auto"/>
        <w:bottom w:val="none" w:sz="0" w:space="0" w:color="auto"/>
        <w:right w:val="none" w:sz="0" w:space="0" w:color="auto"/>
      </w:divBdr>
    </w:div>
    <w:div w:id="599533499">
      <w:bodyDiv w:val="1"/>
      <w:marLeft w:val="0"/>
      <w:marRight w:val="0"/>
      <w:marTop w:val="0"/>
      <w:marBottom w:val="0"/>
      <w:divBdr>
        <w:top w:val="none" w:sz="0" w:space="0" w:color="auto"/>
        <w:left w:val="none" w:sz="0" w:space="0" w:color="auto"/>
        <w:bottom w:val="none" w:sz="0" w:space="0" w:color="auto"/>
        <w:right w:val="none" w:sz="0" w:space="0" w:color="auto"/>
      </w:divBdr>
    </w:div>
    <w:div w:id="606079917">
      <w:bodyDiv w:val="1"/>
      <w:marLeft w:val="0"/>
      <w:marRight w:val="0"/>
      <w:marTop w:val="0"/>
      <w:marBottom w:val="0"/>
      <w:divBdr>
        <w:top w:val="none" w:sz="0" w:space="0" w:color="auto"/>
        <w:left w:val="none" w:sz="0" w:space="0" w:color="auto"/>
        <w:bottom w:val="none" w:sz="0" w:space="0" w:color="auto"/>
        <w:right w:val="none" w:sz="0" w:space="0" w:color="auto"/>
      </w:divBdr>
    </w:div>
    <w:div w:id="715860399">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00040185">
      <w:bodyDiv w:val="1"/>
      <w:marLeft w:val="0"/>
      <w:marRight w:val="0"/>
      <w:marTop w:val="0"/>
      <w:marBottom w:val="0"/>
      <w:divBdr>
        <w:top w:val="none" w:sz="0" w:space="0" w:color="auto"/>
        <w:left w:val="none" w:sz="0" w:space="0" w:color="auto"/>
        <w:bottom w:val="none" w:sz="0" w:space="0" w:color="auto"/>
        <w:right w:val="none" w:sz="0" w:space="0" w:color="auto"/>
      </w:divBdr>
    </w:div>
    <w:div w:id="1140655353">
      <w:bodyDiv w:val="1"/>
      <w:marLeft w:val="0"/>
      <w:marRight w:val="0"/>
      <w:marTop w:val="0"/>
      <w:marBottom w:val="0"/>
      <w:divBdr>
        <w:top w:val="none" w:sz="0" w:space="0" w:color="auto"/>
        <w:left w:val="none" w:sz="0" w:space="0" w:color="auto"/>
        <w:bottom w:val="none" w:sz="0" w:space="0" w:color="auto"/>
        <w:right w:val="none" w:sz="0" w:space="0" w:color="auto"/>
      </w:divBdr>
    </w:div>
    <w:div w:id="192572510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080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3ABF-1EFA-4890-A7F4-22223B18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1117</Words>
  <Characters>6367</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Seaton, Joanne</cp:lastModifiedBy>
  <cp:revision>5</cp:revision>
  <dcterms:created xsi:type="dcterms:W3CDTF">2023-01-27T12:18:00Z</dcterms:created>
  <dcterms:modified xsi:type="dcterms:W3CDTF">2023-05-09T15:54:00Z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